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仿宋" w:hAnsi="仿宋" w:eastAsia="仿宋" w:cs="仿宋"/>
          <w:b/>
          <w:bCs/>
          <w:sz w:val="48"/>
          <w:szCs w:val="48"/>
        </w:rPr>
      </w:pPr>
    </w:p>
    <w:p>
      <w:pPr>
        <w:jc w:val="center"/>
        <w:rPr>
          <w:rFonts w:ascii="仿宋" w:hAnsi="仿宋" w:eastAsia="仿宋" w:cs="仿宋"/>
          <w:b/>
          <w:bCs/>
          <w:sz w:val="48"/>
          <w:szCs w:val="48"/>
        </w:rPr>
      </w:pPr>
      <w:r>
        <w:rPr>
          <w:rFonts w:hint="eastAsia" w:ascii="仿宋" w:hAnsi="仿宋" w:eastAsia="仿宋" w:cs="楷体_GB2312"/>
          <w:color w:val="000000"/>
          <w:sz w:val="48"/>
          <w:szCs w:val="48"/>
        </w:rPr>
        <w:t>淮南清洁能源储运装备制造产业园项目</w:t>
      </w:r>
    </w:p>
    <w:p>
      <w:pPr>
        <w:jc w:val="center"/>
        <w:rPr>
          <w:rFonts w:ascii="仿宋" w:hAnsi="仿宋" w:eastAsia="仿宋" w:cs="仿宋"/>
          <w:sz w:val="44"/>
          <w:szCs w:val="44"/>
        </w:rPr>
      </w:pPr>
    </w:p>
    <w:p>
      <w:pPr>
        <w:jc w:val="center"/>
        <w:rPr>
          <w:rFonts w:ascii="仿宋" w:hAnsi="仿宋" w:eastAsia="仿宋" w:cs="仿宋"/>
          <w:sz w:val="44"/>
          <w:szCs w:val="44"/>
        </w:rPr>
      </w:pPr>
    </w:p>
    <w:p>
      <w:pPr>
        <w:jc w:val="center"/>
        <w:rPr>
          <w:rFonts w:ascii="仿宋" w:hAnsi="仿宋" w:eastAsia="仿宋" w:cs="仿宋"/>
          <w:sz w:val="44"/>
          <w:szCs w:val="44"/>
        </w:rPr>
      </w:pPr>
    </w:p>
    <w:p>
      <w:pPr>
        <w:jc w:val="center"/>
        <w:rPr>
          <w:rFonts w:ascii="仿宋" w:hAnsi="仿宋" w:eastAsia="仿宋" w:cs="仿宋"/>
          <w:sz w:val="44"/>
          <w:szCs w:val="44"/>
        </w:rPr>
      </w:pPr>
    </w:p>
    <w:p>
      <w:pPr>
        <w:jc w:val="center"/>
        <w:rPr>
          <w:rFonts w:ascii="仿宋" w:hAnsi="仿宋" w:eastAsia="仿宋" w:cs="仿宋"/>
          <w:sz w:val="44"/>
          <w:szCs w:val="44"/>
        </w:rPr>
      </w:pPr>
    </w:p>
    <w:p>
      <w:pPr>
        <w:jc w:val="center"/>
        <w:rPr>
          <w:rFonts w:ascii="仿宋" w:hAnsi="仿宋" w:eastAsia="仿宋" w:cs="仿宋"/>
          <w:sz w:val="44"/>
          <w:szCs w:val="44"/>
        </w:rPr>
      </w:pPr>
    </w:p>
    <w:p>
      <w:pPr>
        <w:jc w:val="center"/>
        <w:rPr>
          <w:rFonts w:ascii="仿宋" w:hAnsi="仿宋" w:eastAsia="仿宋" w:cs="仿宋"/>
          <w:sz w:val="44"/>
          <w:szCs w:val="44"/>
        </w:rPr>
      </w:pPr>
      <w:r>
        <w:rPr>
          <w:rFonts w:hint="eastAsia" w:ascii="仿宋" w:hAnsi="仿宋" w:eastAsia="仿宋" w:cs="仿宋"/>
          <w:sz w:val="44"/>
          <w:szCs w:val="44"/>
        </w:rPr>
        <w:t>灯</w:t>
      </w:r>
    </w:p>
    <w:p>
      <w:pPr>
        <w:jc w:val="center"/>
        <w:rPr>
          <w:rFonts w:ascii="仿宋" w:hAnsi="仿宋" w:eastAsia="仿宋" w:cs="仿宋"/>
          <w:sz w:val="44"/>
          <w:szCs w:val="44"/>
        </w:rPr>
      </w:pPr>
      <w:r>
        <w:rPr>
          <w:rFonts w:hint="eastAsia" w:ascii="仿宋" w:hAnsi="仿宋" w:eastAsia="仿宋" w:cs="仿宋"/>
          <w:sz w:val="44"/>
          <w:szCs w:val="44"/>
        </w:rPr>
        <w:t>具</w:t>
      </w:r>
    </w:p>
    <w:p>
      <w:pPr>
        <w:jc w:val="center"/>
        <w:rPr>
          <w:rFonts w:ascii="仿宋" w:hAnsi="仿宋" w:eastAsia="仿宋" w:cs="仿宋"/>
          <w:sz w:val="44"/>
          <w:szCs w:val="44"/>
        </w:rPr>
      </w:pPr>
      <w:r>
        <w:rPr>
          <w:rFonts w:hint="eastAsia" w:ascii="仿宋" w:hAnsi="仿宋" w:eastAsia="仿宋" w:cs="仿宋"/>
          <w:sz w:val="44"/>
          <w:szCs w:val="44"/>
        </w:rPr>
        <w:t>采</w:t>
      </w:r>
    </w:p>
    <w:p>
      <w:pPr>
        <w:jc w:val="center"/>
        <w:rPr>
          <w:rFonts w:ascii="仿宋" w:hAnsi="仿宋" w:eastAsia="仿宋" w:cs="仿宋"/>
          <w:sz w:val="44"/>
          <w:szCs w:val="44"/>
        </w:rPr>
      </w:pPr>
      <w:r>
        <w:rPr>
          <w:rFonts w:hint="eastAsia" w:ascii="仿宋" w:hAnsi="仿宋" w:eastAsia="仿宋" w:cs="仿宋"/>
          <w:sz w:val="44"/>
          <w:szCs w:val="44"/>
        </w:rPr>
        <w:t>购</w:t>
      </w:r>
    </w:p>
    <w:p>
      <w:pPr>
        <w:jc w:val="center"/>
        <w:rPr>
          <w:rFonts w:ascii="仿宋" w:hAnsi="仿宋" w:eastAsia="仿宋" w:cs="仿宋"/>
          <w:sz w:val="44"/>
          <w:szCs w:val="44"/>
        </w:rPr>
      </w:pPr>
      <w:r>
        <w:rPr>
          <w:rFonts w:hint="eastAsia" w:ascii="仿宋" w:hAnsi="仿宋" w:eastAsia="仿宋" w:cs="仿宋"/>
          <w:sz w:val="44"/>
          <w:szCs w:val="44"/>
        </w:rPr>
        <w:t>合</w:t>
      </w:r>
    </w:p>
    <w:p>
      <w:pPr>
        <w:jc w:val="center"/>
        <w:rPr>
          <w:rFonts w:ascii="仿宋" w:hAnsi="仿宋" w:eastAsia="仿宋" w:cs="仿宋"/>
          <w:sz w:val="44"/>
          <w:szCs w:val="44"/>
        </w:rPr>
      </w:pPr>
      <w:r>
        <w:rPr>
          <w:rFonts w:hint="eastAsia" w:ascii="仿宋" w:hAnsi="仿宋" w:eastAsia="仿宋" w:cs="仿宋"/>
          <w:sz w:val="44"/>
          <w:szCs w:val="44"/>
        </w:rPr>
        <w:t>同</w:t>
      </w:r>
    </w:p>
    <w:p>
      <w:pPr>
        <w:jc w:val="center"/>
        <w:rPr>
          <w:rFonts w:ascii="仿宋" w:hAnsi="仿宋" w:eastAsia="仿宋" w:cs="仿宋"/>
          <w:b/>
          <w:bCs/>
          <w:sz w:val="36"/>
          <w:szCs w:val="36"/>
        </w:rPr>
      </w:pPr>
    </w:p>
    <w:p>
      <w:pPr>
        <w:jc w:val="center"/>
        <w:rPr>
          <w:rFonts w:ascii="仿宋" w:hAnsi="仿宋" w:eastAsia="仿宋" w:cs="仿宋"/>
          <w:b/>
          <w:bCs/>
          <w:sz w:val="36"/>
          <w:szCs w:val="36"/>
        </w:rPr>
      </w:pPr>
    </w:p>
    <w:p>
      <w:pPr>
        <w:jc w:val="center"/>
        <w:rPr>
          <w:rFonts w:ascii="仿宋" w:hAnsi="仿宋" w:eastAsia="仿宋" w:cs="仿宋"/>
          <w:b/>
          <w:bCs/>
          <w:sz w:val="36"/>
          <w:szCs w:val="36"/>
        </w:rPr>
      </w:pPr>
    </w:p>
    <w:p>
      <w:pPr>
        <w:jc w:val="center"/>
        <w:rPr>
          <w:rFonts w:ascii="仿宋" w:hAnsi="仿宋" w:eastAsia="仿宋" w:cs="仿宋"/>
          <w:b/>
          <w:bCs/>
          <w:sz w:val="36"/>
          <w:szCs w:val="36"/>
        </w:rPr>
      </w:pPr>
    </w:p>
    <w:p>
      <w:pPr>
        <w:adjustRightInd w:val="0"/>
        <w:jc w:val="center"/>
        <w:rPr>
          <w:rFonts w:ascii="仿宋" w:hAnsi="仿宋" w:eastAsia="仿宋" w:cs="仿宋"/>
          <w:sz w:val="32"/>
          <w:szCs w:val="32"/>
        </w:rPr>
      </w:pPr>
    </w:p>
    <w:p>
      <w:pPr>
        <w:adjustRightInd w:val="0"/>
        <w:ind w:firstLine="960" w:firstLineChars="300"/>
        <w:jc w:val="both"/>
        <w:rPr>
          <w:rFonts w:ascii="仿宋" w:hAnsi="仿宋" w:eastAsia="仿宋" w:cs="仿宋"/>
          <w:sz w:val="32"/>
          <w:szCs w:val="32"/>
          <w:u w:val="single"/>
        </w:rPr>
      </w:pPr>
      <w:r>
        <w:rPr>
          <w:rFonts w:hint="eastAsia" w:ascii="仿宋" w:hAnsi="仿宋" w:eastAsia="仿宋" w:cs="仿宋"/>
          <w:sz w:val="32"/>
          <w:szCs w:val="32"/>
        </w:rPr>
        <w:t>采购单位：</w:t>
      </w:r>
      <w:r>
        <w:rPr>
          <w:rFonts w:hint="eastAsia" w:ascii="仿宋" w:hAnsi="仿宋" w:eastAsia="仿宋" w:cs="仿宋"/>
          <w:sz w:val="32"/>
          <w:szCs w:val="32"/>
          <w:u w:val="single"/>
        </w:rPr>
        <w:t xml:space="preserve">  安徽新集矿山建设工程有限公司 </w:t>
      </w:r>
    </w:p>
    <w:p>
      <w:pPr>
        <w:rPr>
          <w:rFonts w:ascii="仿宋" w:hAnsi="仿宋" w:eastAsia="仿宋" w:cs="仿宋"/>
          <w:sz w:val="32"/>
          <w:szCs w:val="32"/>
          <w:u w:val="single"/>
        </w:rPr>
      </w:pPr>
      <w:r>
        <w:rPr>
          <w:rFonts w:hint="eastAsia" w:ascii="仿宋" w:hAnsi="仿宋" w:eastAsia="仿宋" w:cs="仿宋"/>
          <w:sz w:val="32"/>
          <w:szCs w:val="32"/>
        </w:rPr>
        <w:t xml:space="preserve">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供货单位：</w:t>
      </w:r>
      <w:r>
        <w:rPr>
          <w:rFonts w:hint="eastAsia" w:ascii="仿宋" w:hAnsi="仿宋" w:eastAsia="仿宋" w:cs="仿宋"/>
          <w:sz w:val="32"/>
          <w:szCs w:val="32"/>
          <w:u w:val="single"/>
        </w:rPr>
        <w:t xml:space="preserve">                               </w:t>
      </w:r>
      <w:bookmarkStart w:id="0" w:name="_GoBack"/>
      <w:bookmarkEnd w:id="0"/>
    </w:p>
    <w:p>
      <w:pPr>
        <w:rPr>
          <w:rFonts w:ascii="仿宋" w:hAnsi="仿宋" w:eastAsia="仿宋" w:cs="仿宋"/>
          <w:b/>
          <w:bCs/>
          <w:sz w:val="36"/>
          <w:szCs w:val="36"/>
        </w:rPr>
      </w:pPr>
    </w:p>
    <w:p>
      <w:pPr>
        <w:jc w:val="center"/>
        <w:rPr>
          <w:rFonts w:ascii="仿宋" w:hAnsi="仿宋" w:eastAsia="仿宋" w:cs="仿宋"/>
          <w:b/>
          <w:bCs/>
          <w:sz w:val="36"/>
          <w:szCs w:val="36"/>
        </w:rPr>
      </w:pPr>
      <w:r>
        <w:rPr>
          <w:rFonts w:hint="eastAsia" w:ascii="仿宋" w:hAnsi="仿宋" w:eastAsia="仿宋" w:cs="楷体_GB2312"/>
          <w:b/>
          <w:bCs/>
          <w:color w:val="000000"/>
          <w:sz w:val="36"/>
          <w:szCs w:val="36"/>
        </w:rPr>
        <w:t>淮南清洁能源储运装备制造产业园项目</w:t>
      </w:r>
    </w:p>
    <w:p>
      <w:pPr>
        <w:jc w:val="center"/>
        <w:rPr>
          <w:rFonts w:ascii="仿宋" w:hAnsi="仿宋" w:eastAsia="仿宋" w:cs="仿宋"/>
          <w:b/>
          <w:bCs/>
          <w:sz w:val="36"/>
          <w:szCs w:val="36"/>
        </w:rPr>
      </w:pPr>
      <w:r>
        <w:rPr>
          <w:rFonts w:hint="eastAsia" w:ascii="仿宋" w:hAnsi="仿宋" w:eastAsia="仿宋" w:cs="楷体_GB2312"/>
          <w:b/>
          <w:bCs/>
          <w:color w:val="000000"/>
          <w:sz w:val="36"/>
          <w:szCs w:val="36"/>
        </w:rPr>
        <w:t>灯具采购合同</w:t>
      </w:r>
    </w:p>
    <w:p>
      <w:pPr>
        <w:rPr>
          <w:rFonts w:ascii="仿宋" w:hAnsi="仿宋" w:eastAsia="仿宋" w:cs="仿宋"/>
          <w:sz w:val="28"/>
          <w:szCs w:val="28"/>
        </w:rPr>
      </w:pPr>
    </w:p>
    <w:p>
      <w:pPr>
        <w:rPr>
          <w:rFonts w:ascii="仿宋" w:hAnsi="仿宋" w:eastAsia="仿宋" w:cs="仿宋"/>
          <w:sz w:val="28"/>
          <w:szCs w:val="28"/>
          <w:u w:val="single"/>
        </w:rPr>
      </w:pPr>
      <w:r>
        <w:rPr>
          <w:rFonts w:hint="eastAsia" w:ascii="仿宋" w:hAnsi="仿宋" w:eastAsia="仿宋" w:cs="仿宋"/>
          <w:sz w:val="28"/>
          <w:szCs w:val="28"/>
        </w:rPr>
        <w:t>需方：（以下简称为甲方）</w:t>
      </w:r>
      <w:r>
        <w:rPr>
          <w:rFonts w:hint="eastAsia" w:ascii="仿宋" w:hAnsi="仿宋" w:eastAsia="仿宋" w:cs="仿宋"/>
          <w:sz w:val="28"/>
          <w:szCs w:val="28"/>
          <w:u w:val="single"/>
        </w:rPr>
        <w:t xml:space="preserve">  安徽新集矿山建设工程有限公司  </w:t>
      </w:r>
    </w:p>
    <w:p>
      <w:pPr>
        <w:rPr>
          <w:rFonts w:ascii="仿宋" w:hAnsi="仿宋" w:eastAsia="仿宋" w:cs="仿宋"/>
          <w:sz w:val="28"/>
          <w:szCs w:val="28"/>
          <w:u w:val="single"/>
        </w:rPr>
      </w:pPr>
      <w:r>
        <w:rPr>
          <w:rFonts w:hint="eastAsia" w:ascii="仿宋" w:hAnsi="仿宋" w:eastAsia="仿宋" w:cs="仿宋"/>
          <w:sz w:val="28"/>
          <w:szCs w:val="28"/>
        </w:rPr>
        <w:t>供方：（以下简称为乙方）</w:t>
      </w:r>
      <w:r>
        <w:rPr>
          <w:rFonts w:hint="eastAsia" w:ascii="仿宋" w:hAnsi="仿宋" w:eastAsia="仿宋" w:cs="仿宋"/>
          <w:sz w:val="28"/>
          <w:szCs w:val="28"/>
          <w:u w:val="single"/>
        </w:rPr>
        <w:t xml:space="preserve">                                </w:t>
      </w:r>
    </w:p>
    <w:p>
      <w:pPr>
        <w:ind w:firstLine="560"/>
        <w:rPr>
          <w:rFonts w:ascii="仿宋" w:hAnsi="仿宋" w:eastAsia="仿宋" w:cs="仿宋"/>
          <w:sz w:val="28"/>
          <w:szCs w:val="28"/>
        </w:rPr>
      </w:pPr>
      <w:r>
        <w:rPr>
          <w:rFonts w:hint="eastAsia" w:ascii="仿宋" w:hAnsi="仿宋" w:eastAsia="仿宋" w:cs="仿宋"/>
          <w:sz w:val="28"/>
          <w:szCs w:val="28"/>
        </w:rPr>
        <w:t>依照《中华人民共和国合同法》及其它有关法律法规之规定，甲乙双方本着平等自愿、互惠互利的原则，经过双方充分协商，特订立如下买卖合同，以便双方共同遵守执行。</w:t>
      </w:r>
    </w:p>
    <w:p>
      <w:pPr>
        <w:rPr>
          <w:rFonts w:ascii="仿宋" w:hAnsi="仿宋" w:eastAsia="仿宋" w:cs="仿宋"/>
          <w:b/>
          <w:bCs/>
          <w:sz w:val="28"/>
          <w:szCs w:val="28"/>
        </w:rPr>
      </w:pPr>
      <w:r>
        <w:rPr>
          <w:rFonts w:hint="eastAsia" w:ascii="仿宋" w:hAnsi="仿宋" w:eastAsia="仿宋" w:cs="仿宋"/>
          <w:b/>
          <w:bCs/>
          <w:sz w:val="28"/>
          <w:szCs w:val="28"/>
        </w:rPr>
        <w:t>一、工程项目：</w:t>
      </w:r>
    </w:p>
    <w:p>
      <w:pPr>
        <w:textAlignment w:val="baseline"/>
        <w:rPr>
          <w:rFonts w:ascii="仿宋" w:hAnsi="仿宋" w:eastAsia="仿宋" w:cs="楷体_GB2312"/>
          <w:color w:val="000000"/>
          <w:sz w:val="28"/>
          <w:szCs w:val="28"/>
        </w:rPr>
      </w:pPr>
      <w:r>
        <w:rPr>
          <w:rFonts w:hint="eastAsia" w:ascii="仿宋" w:hAnsi="仿宋" w:eastAsia="仿宋" w:cs="仿宋"/>
          <w:sz w:val="28"/>
          <w:szCs w:val="28"/>
        </w:rPr>
        <w:t xml:space="preserve">    1.工程名称：</w:t>
      </w:r>
      <w:r>
        <w:rPr>
          <w:rFonts w:hint="eastAsia" w:ascii="仿宋" w:hAnsi="仿宋" w:eastAsia="仿宋" w:cs="楷体_GB2312"/>
          <w:bCs/>
          <w:color w:val="000000"/>
          <w:sz w:val="28"/>
          <w:szCs w:val="28"/>
        </w:rPr>
        <w:t>淮南清洁能源储运装备制造产业园4#标准化厂房项目灯具类材料采购</w:t>
      </w:r>
    </w:p>
    <w:p>
      <w:pPr>
        <w:textAlignment w:val="baseline"/>
        <w:rPr>
          <w:rFonts w:ascii="仿宋" w:hAnsi="仿宋" w:eastAsia="仿宋" w:cs="楷体_GB2312"/>
          <w:color w:val="000000"/>
          <w:sz w:val="28"/>
          <w:szCs w:val="28"/>
        </w:rPr>
      </w:pPr>
      <w:r>
        <w:rPr>
          <w:rFonts w:hint="eastAsia" w:ascii="仿宋" w:hAnsi="仿宋" w:eastAsia="仿宋" w:cs="仿宋"/>
          <w:sz w:val="28"/>
          <w:szCs w:val="28"/>
        </w:rPr>
        <w:t xml:space="preserve">    2.交货地点：</w:t>
      </w:r>
      <w:r>
        <w:rPr>
          <w:rFonts w:hint="eastAsia" w:ascii="仿宋" w:hAnsi="仿宋" w:eastAsia="仿宋" w:cs="楷体_GB2312"/>
          <w:bCs/>
          <w:color w:val="000000"/>
          <w:sz w:val="28"/>
          <w:szCs w:val="28"/>
        </w:rPr>
        <w:t>淮南清洁能源储运装备制造产业园4#标准化厂房项目施工现场</w:t>
      </w:r>
    </w:p>
    <w:p>
      <w:pPr>
        <w:ind w:firstLine="560" w:firstLineChars="200"/>
        <w:rPr>
          <w:rFonts w:ascii="仿宋" w:hAnsi="仿宋" w:eastAsia="仿宋" w:cs="仿宋"/>
          <w:sz w:val="28"/>
          <w:szCs w:val="28"/>
        </w:rPr>
      </w:pPr>
      <w:r>
        <w:rPr>
          <w:rFonts w:hint="eastAsia" w:ascii="仿宋" w:hAnsi="仿宋" w:eastAsia="仿宋" w:cs="仿宋"/>
          <w:sz w:val="28"/>
          <w:szCs w:val="28"/>
        </w:rPr>
        <w:t>3.货物名称：灯具类材料</w:t>
      </w:r>
    </w:p>
    <w:p>
      <w:pPr>
        <w:ind w:firstLine="560" w:firstLineChars="200"/>
        <w:rPr>
          <w:rFonts w:ascii="仿宋" w:hAnsi="仿宋" w:eastAsia="仿宋" w:cs="仿宋"/>
          <w:sz w:val="28"/>
          <w:szCs w:val="28"/>
        </w:rPr>
      </w:pPr>
      <w:r>
        <w:rPr>
          <w:rFonts w:hint="eastAsia" w:ascii="仿宋" w:hAnsi="仿宋" w:eastAsia="仿宋" w:cs="仿宋"/>
          <w:sz w:val="28"/>
          <w:szCs w:val="28"/>
        </w:rPr>
        <w:t>4.合同签订地：安徽省淮南市</w:t>
      </w:r>
    </w:p>
    <w:p>
      <w:pPr>
        <w:numPr>
          <w:ilvl w:val="0"/>
          <w:numId w:val="1"/>
        </w:numPr>
        <w:rPr>
          <w:rFonts w:ascii="仿宋" w:hAnsi="仿宋" w:eastAsia="仿宋" w:cs="楷体_GB2312"/>
          <w:color w:val="000000"/>
          <w:sz w:val="28"/>
          <w:szCs w:val="28"/>
        </w:rPr>
      </w:pPr>
      <w:r>
        <w:rPr>
          <w:rFonts w:hint="eastAsia" w:ascii="仿宋" w:hAnsi="仿宋" w:eastAsia="仿宋" w:cs="仿宋"/>
          <w:b/>
          <w:bCs/>
          <w:sz w:val="28"/>
          <w:szCs w:val="28"/>
        </w:rPr>
        <w:t>产品名称、型号、数量、单价、合同总金额：</w:t>
      </w:r>
    </w:p>
    <w:tbl>
      <w:tblPr>
        <w:tblStyle w:val="4"/>
        <w:tblW w:w="9229" w:type="dxa"/>
        <w:tblInd w:w="93" w:type="dxa"/>
        <w:tblLayout w:type="autofit"/>
        <w:tblCellMar>
          <w:top w:w="0" w:type="dxa"/>
          <w:left w:w="108" w:type="dxa"/>
          <w:bottom w:w="0" w:type="dxa"/>
          <w:right w:w="108" w:type="dxa"/>
        </w:tblCellMar>
      </w:tblPr>
      <w:tblGrid>
        <w:gridCol w:w="845"/>
        <w:gridCol w:w="1370"/>
        <w:gridCol w:w="2714"/>
        <w:gridCol w:w="600"/>
        <w:gridCol w:w="867"/>
        <w:gridCol w:w="936"/>
        <w:gridCol w:w="996"/>
        <w:gridCol w:w="901"/>
      </w:tblGrid>
      <w:tr>
        <w:tblPrEx>
          <w:tblCellMar>
            <w:top w:w="0" w:type="dxa"/>
            <w:left w:w="108" w:type="dxa"/>
            <w:bottom w:w="0" w:type="dxa"/>
            <w:right w:w="108" w:type="dxa"/>
          </w:tblCellMar>
        </w:tblPrEx>
        <w:trPr>
          <w:trHeight w:val="735" w:hRule="atLeast"/>
        </w:trPr>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rPr>
              <w:t>序号</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rPr>
              <w:t>材料名称</w:t>
            </w:r>
          </w:p>
        </w:tc>
        <w:tc>
          <w:tcPr>
            <w:tcW w:w="27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rPr>
              <w:t>规格型号</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rPr>
              <w:t>单位</w:t>
            </w:r>
          </w:p>
        </w:tc>
        <w:tc>
          <w:tcPr>
            <w:tcW w:w="8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rPr>
              <w:t>预计总用量</w:t>
            </w:r>
          </w:p>
        </w:tc>
        <w:tc>
          <w:tcPr>
            <w:tcW w:w="936"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rPr>
              <w:t>单价（元）</w:t>
            </w:r>
          </w:p>
        </w:tc>
        <w:tc>
          <w:tcPr>
            <w:tcW w:w="996"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rPr>
              <w:t>总价（元）</w:t>
            </w:r>
          </w:p>
        </w:tc>
        <w:tc>
          <w:tcPr>
            <w:tcW w:w="90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rPr>
              <w:t>品牌</w:t>
            </w:r>
          </w:p>
        </w:tc>
      </w:tr>
      <w:tr>
        <w:tblPrEx>
          <w:tblCellMar>
            <w:top w:w="0" w:type="dxa"/>
            <w:left w:w="108" w:type="dxa"/>
            <w:bottom w:w="0" w:type="dxa"/>
            <w:right w:w="108" w:type="dxa"/>
          </w:tblCellMar>
        </w:tblPrEx>
        <w:trPr>
          <w:trHeight w:val="795" w:hRule="atLeast"/>
        </w:trPr>
        <w:tc>
          <w:tcPr>
            <w:tcW w:w="8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嵌入式LED灯盘E1a</w:t>
            </w:r>
          </w:p>
        </w:tc>
        <w:tc>
          <w:tcPr>
            <w:tcW w:w="27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LED，35W,色温4000K,光通量2600lm，600x600mm</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套</w:t>
            </w:r>
          </w:p>
        </w:tc>
        <w:tc>
          <w:tcPr>
            <w:tcW w:w="8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 xml:space="preserve">160.00 </w:t>
            </w:r>
          </w:p>
        </w:tc>
        <w:tc>
          <w:tcPr>
            <w:tcW w:w="936"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宋体" w:hAnsi="宋体" w:eastAsia="宋体" w:cs="宋体"/>
                <w:color w:val="000000"/>
                <w:sz w:val="18"/>
                <w:szCs w:val="18"/>
              </w:rPr>
            </w:pPr>
          </w:p>
        </w:tc>
        <w:tc>
          <w:tcPr>
            <w:tcW w:w="99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ascii="仿宋" w:hAnsi="仿宋" w:eastAsia="仿宋" w:cs="仿宋"/>
                <w:color w:val="000000"/>
                <w:sz w:val="18"/>
                <w:szCs w:val="18"/>
              </w:rPr>
            </w:pPr>
          </w:p>
        </w:tc>
        <w:tc>
          <w:tcPr>
            <w:tcW w:w="90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18"/>
                <w:szCs w:val="18"/>
              </w:rPr>
            </w:pPr>
          </w:p>
        </w:tc>
      </w:tr>
      <w:tr>
        <w:tblPrEx>
          <w:tblCellMar>
            <w:top w:w="0" w:type="dxa"/>
            <w:left w:w="108" w:type="dxa"/>
            <w:bottom w:w="0" w:type="dxa"/>
            <w:right w:w="108" w:type="dxa"/>
          </w:tblCellMar>
        </w:tblPrEx>
        <w:trPr>
          <w:trHeight w:val="795" w:hRule="atLeast"/>
        </w:trPr>
        <w:tc>
          <w:tcPr>
            <w:tcW w:w="8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2</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嵌入式LED灯盘E2a</w:t>
            </w:r>
          </w:p>
        </w:tc>
        <w:tc>
          <w:tcPr>
            <w:tcW w:w="27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LED，35W,色温4000K,光通量2600lm应急专用灯具,自带蓄电池，应急时间(寿命终止时)≥180min，600x600mm</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套</w:t>
            </w:r>
          </w:p>
        </w:tc>
        <w:tc>
          <w:tcPr>
            <w:tcW w:w="8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 xml:space="preserve">4.00 </w:t>
            </w:r>
          </w:p>
        </w:tc>
        <w:tc>
          <w:tcPr>
            <w:tcW w:w="936"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宋体" w:hAnsi="宋体" w:eastAsia="宋体" w:cs="宋体"/>
                <w:color w:val="000000"/>
                <w:sz w:val="18"/>
                <w:szCs w:val="18"/>
              </w:rPr>
            </w:pPr>
          </w:p>
        </w:tc>
        <w:tc>
          <w:tcPr>
            <w:tcW w:w="99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ascii="仿宋" w:hAnsi="仿宋" w:eastAsia="仿宋" w:cs="仿宋"/>
                <w:color w:val="000000"/>
                <w:sz w:val="18"/>
                <w:szCs w:val="18"/>
              </w:rPr>
            </w:pPr>
          </w:p>
        </w:tc>
        <w:tc>
          <w:tcPr>
            <w:tcW w:w="90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18"/>
                <w:szCs w:val="18"/>
              </w:rPr>
            </w:pPr>
          </w:p>
        </w:tc>
      </w:tr>
      <w:tr>
        <w:tblPrEx>
          <w:tblCellMar>
            <w:top w:w="0" w:type="dxa"/>
            <w:left w:w="108" w:type="dxa"/>
            <w:bottom w:w="0" w:type="dxa"/>
            <w:right w:w="108" w:type="dxa"/>
          </w:tblCellMar>
        </w:tblPrEx>
        <w:trPr>
          <w:trHeight w:val="795" w:hRule="atLeast"/>
        </w:trPr>
        <w:tc>
          <w:tcPr>
            <w:tcW w:w="8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3</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LED高棚灯H1a</w:t>
            </w:r>
          </w:p>
          <w:p>
            <w:pPr>
              <w:widowControl/>
              <w:jc w:val="center"/>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（杆吊安装）</w:t>
            </w:r>
          </w:p>
        </w:tc>
        <w:tc>
          <w:tcPr>
            <w:tcW w:w="27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LED，120W，色温5700K,光通量13200lm,深照型</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套</w:t>
            </w:r>
          </w:p>
        </w:tc>
        <w:tc>
          <w:tcPr>
            <w:tcW w:w="8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 xml:space="preserve">834.00 </w:t>
            </w:r>
          </w:p>
        </w:tc>
        <w:tc>
          <w:tcPr>
            <w:tcW w:w="936"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宋体" w:hAnsi="宋体" w:eastAsia="宋体" w:cs="宋体"/>
                <w:color w:val="000000"/>
                <w:sz w:val="18"/>
                <w:szCs w:val="18"/>
              </w:rPr>
            </w:pPr>
          </w:p>
        </w:tc>
        <w:tc>
          <w:tcPr>
            <w:tcW w:w="99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ascii="仿宋" w:hAnsi="仿宋" w:eastAsia="仿宋" w:cs="仿宋"/>
                <w:color w:val="000000"/>
                <w:sz w:val="18"/>
                <w:szCs w:val="18"/>
              </w:rPr>
            </w:pPr>
          </w:p>
        </w:tc>
        <w:tc>
          <w:tcPr>
            <w:tcW w:w="90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18"/>
                <w:szCs w:val="18"/>
              </w:rPr>
            </w:pPr>
          </w:p>
        </w:tc>
      </w:tr>
      <w:tr>
        <w:tblPrEx>
          <w:tblCellMar>
            <w:top w:w="0" w:type="dxa"/>
            <w:left w:w="108" w:type="dxa"/>
            <w:bottom w:w="0" w:type="dxa"/>
            <w:right w:w="108" w:type="dxa"/>
          </w:tblCellMar>
        </w:tblPrEx>
        <w:trPr>
          <w:trHeight w:val="795" w:hRule="atLeast"/>
        </w:trPr>
        <w:tc>
          <w:tcPr>
            <w:tcW w:w="8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4</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LED高棚灯H1b（杆吊安装）</w:t>
            </w:r>
          </w:p>
        </w:tc>
        <w:tc>
          <w:tcPr>
            <w:tcW w:w="27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LED，120W，色温5700K,光通量13200lm,广照型</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套</w:t>
            </w:r>
          </w:p>
        </w:tc>
        <w:tc>
          <w:tcPr>
            <w:tcW w:w="8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 xml:space="preserve">50.00 </w:t>
            </w:r>
          </w:p>
        </w:tc>
        <w:tc>
          <w:tcPr>
            <w:tcW w:w="936"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宋体" w:hAnsi="宋体" w:eastAsia="宋体" w:cs="宋体"/>
                <w:color w:val="000000"/>
                <w:sz w:val="18"/>
                <w:szCs w:val="18"/>
              </w:rPr>
            </w:pPr>
          </w:p>
        </w:tc>
        <w:tc>
          <w:tcPr>
            <w:tcW w:w="99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ascii="仿宋" w:hAnsi="仿宋" w:eastAsia="仿宋" w:cs="仿宋"/>
                <w:color w:val="000000"/>
                <w:sz w:val="18"/>
                <w:szCs w:val="18"/>
              </w:rPr>
            </w:pPr>
          </w:p>
        </w:tc>
        <w:tc>
          <w:tcPr>
            <w:tcW w:w="90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18"/>
                <w:szCs w:val="18"/>
              </w:rPr>
            </w:pPr>
          </w:p>
        </w:tc>
      </w:tr>
      <w:tr>
        <w:tblPrEx>
          <w:tblCellMar>
            <w:top w:w="0" w:type="dxa"/>
            <w:left w:w="108" w:type="dxa"/>
            <w:bottom w:w="0" w:type="dxa"/>
            <w:right w:w="108" w:type="dxa"/>
          </w:tblCellMar>
        </w:tblPrEx>
        <w:trPr>
          <w:trHeight w:val="795" w:hRule="atLeast"/>
        </w:trPr>
        <w:tc>
          <w:tcPr>
            <w:tcW w:w="8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5</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LED筒灯D1a</w:t>
            </w:r>
          </w:p>
        </w:tc>
        <w:tc>
          <w:tcPr>
            <w:tcW w:w="27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LED，8W，色温4000K,光通量720lm</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套</w:t>
            </w:r>
          </w:p>
        </w:tc>
        <w:tc>
          <w:tcPr>
            <w:tcW w:w="8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 xml:space="preserve">78.00 </w:t>
            </w:r>
          </w:p>
        </w:tc>
        <w:tc>
          <w:tcPr>
            <w:tcW w:w="936"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宋体" w:hAnsi="宋体" w:eastAsia="宋体" w:cs="宋体"/>
                <w:color w:val="000000"/>
                <w:sz w:val="18"/>
                <w:szCs w:val="18"/>
              </w:rPr>
            </w:pPr>
          </w:p>
        </w:tc>
        <w:tc>
          <w:tcPr>
            <w:tcW w:w="99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ascii="仿宋" w:hAnsi="仿宋" w:eastAsia="仿宋" w:cs="仿宋"/>
                <w:color w:val="000000"/>
                <w:sz w:val="18"/>
                <w:szCs w:val="18"/>
              </w:rPr>
            </w:pPr>
          </w:p>
        </w:tc>
        <w:tc>
          <w:tcPr>
            <w:tcW w:w="90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18"/>
                <w:szCs w:val="18"/>
              </w:rPr>
            </w:pPr>
          </w:p>
        </w:tc>
      </w:tr>
      <w:tr>
        <w:tblPrEx>
          <w:tblCellMar>
            <w:top w:w="0" w:type="dxa"/>
            <w:left w:w="108" w:type="dxa"/>
            <w:bottom w:w="0" w:type="dxa"/>
            <w:right w:w="108" w:type="dxa"/>
          </w:tblCellMar>
        </w:tblPrEx>
        <w:trPr>
          <w:trHeight w:val="795" w:hRule="atLeast"/>
        </w:trPr>
        <w:tc>
          <w:tcPr>
            <w:tcW w:w="8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6</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LED支架灯B1a</w:t>
            </w:r>
          </w:p>
        </w:tc>
        <w:tc>
          <w:tcPr>
            <w:tcW w:w="27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L≈1200mm，LED，36W,色温4000K,光通量4200lm</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套</w:t>
            </w:r>
          </w:p>
        </w:tc>
        <w:tc>
          <w:tcPr>
            <w:tcW w:w="8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 xml:space="preserve">39.00 </w:t>
            </w:r>
          </w:p>
        </w:tc>
        <w:tc>
          <w:tcPr>
            <w:tcW w:w="936"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宋体" w:hAnsi="宋体" w:eastAsia="宋体" w:cs="宋体"/>
                <w:color w:val="000000"/>
                <w:sz w:val="18"/>
                <w:szCs w:val="18"/>
              </w:rPr>
            </w:pPr>
          </w:p>
        </w:tc>
        <w:tc>
          <w:tcPr>
            <w:tcW w:w="99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ascii="仿宋" w:hAnsi="仿宋" w:eastAsia="仿宋" w:cs="仿宋"/>
                <w:color w:val="000000"/>
                <w:sz w:val="18"/>
                <w:szCs w:val="18"/>
              </w:rPr>
            </w:pPr>
          </w:p>
        </w:tc>
        <w:tc>
          <w:tcPr>
            <w:tcW w:w="90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18"/>
                <w:szCs w:val="18"/>
              </w:rPr>
            </w:pPr>
          </w:p>
        </w:tc>
      </w:tr>
      <w:tr>
        <w:tblPrEx>
          <w:tblCellMar>
            <w:top w:w="0" w:type="dxa"/>
            <w:left w:w="108" w:type="dxa"/>
            <w:bottom w:w="0" w:type="dxa"/>
            <w:right w:w="108" w:type="dxa"/>
          </w:tblCellMar>
        </w:tblPrEx>
        <w:trPr>
          <w:trHeight w:val="795" w:hRule="atLeast"/>
        </w:trPr>
        <w:tc>
          <w:tcPr>
            <w:tcW w:w="8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7</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LED支架灯B2a</w:t>
            </w:r>
          </w:p>
        </w:tc>
        <w:tc>
          <w:tcPr>
            <w:tcW w:w="27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L≈1200mm，LED，36W,色温4000K,光通量4200lm，消防应急灯具</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套</w:t>
            </w:r>
          </w:p>
        </w:tc>
        <w:tc>
          <w:tcPr>
            <w:tcW w:w="8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 xml:space="preserve">15.00 </w:t>
            </w:r>
          </w:p>
        </w:tc>
        <w:tc>
          <w:tcPr>
            <w:tcW w:w="936"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宋体" w:hAnsi="宋体" w:eastAsia="宋体" w:cs="宋体"/>
                <w:color w:val="000000"/>
                <w:sz w:val="18"/>
                <w:szCs w:val="18"/>
              </w:rPr>
            </w:pPr>
          </w:p>
        </w:tc>
        <w:tc>
          <w:tcPr>
            <w:tcW w:w="99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ascii="仿宋" w:hAnsi="仿宋" w:eastAsia="仿宋" w:cs="仿宋"/>
                <w:color w:val="000000"/>
                <w:sz w:val="18"/>
                <w:szCs w:val="18"/>
              </w:rPr>
            </w:pPr>
          </w:p>
        </w:tc>
        <w:tc>
          <w:tcPr>
            <w:tcW w:w="90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18"/>
                <w:szCs w:val="18"/>
              </w:rPr>
            </w:pPr>
          </w:p>
        </w:tc>
      </w:tr>
      <w:tr>
        <w:tblPrEx>
          <w:tblCellMar>
            <w:top w:w="0" w:type="dxa"/>
            <w:left w:w="108" w:type="dxa"/>
            <w:bottom w:w="0" w:type="dxa"/>
            <w:right w:w="108" w:type="dxa"/>
          </w:tblCellMar>
        </w:tblPrEx>
        <w:trPr>
          <w:trHeight w:val="795" w:hRule="atLeast"/>
        </w:trPr>
        <w:tc>
          <w:tcPr>
            <w:tcW w:w="8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8</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LED高棚灯H1a杆吊</w:t>
            </w:r>
          </w:p>
        </w:tc>
        <w:tc>
          <w:tcPr>
            <w:tcW w:w="27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kern w:val="0"/>
                <w:sz w:val="18"/>
                <w:szCs w:val="18"/>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批</w:t>
            </w:r>
          </w:p>
        </w:tc>
        <w:tc>
          <w:tcPr>
            <w:tcW w:w="8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1.00</w:t>
            </w:r>
          </w:p>
        </w:tc>
        <w:tc>
          <w:tcPr>
            <w:tcW w:w="936"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宋体" w:hAnsi="宋体" w:eastAsia="宋体" w:cs="宋体"/>
                <w:color w:val="000000"/>
                <w:sz w:val="18"/>
                <w:szCs w:val="18"/>
              </w:rPr>
            </w:pPr>
          </w:p>
        </w:tc>
        <w:tc>
          <w:tcPr>
            <w:tcW w:w="99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ascii="仿宋" w:hAnsi="仿宋" w:eastAsia="仿宋" w:cs="仿宋"/>
                <w:color w:val="000000"/>
                <w:sz w:val="18"/>
                <w:szCs w:val="18"/>
              </w:rPr>
            </w:pPr>
          </w:p>
        </w:tc>
        <w:tc>
          <w:tcPr>
            <w:tcW w:w="90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18"/>
                <w:szCs w:val="18"/>
              </w:rPr>
            </w:pPr>
          </w:p>
        </w:tc>
      </w:tr>
      <w:tr>
        <w:tblPrEx>
          <w:tblCellMar>
            <w:top w:w="0" w:type="dxa"/>
            <w:left w:w="108" w:type="dxa"/>
            <w:bottom w:w="0" w:type="dxa"/>
            <w:right w:w="108" w:type="dxa"/>
          </w:tblCellMar>
        </w:tblPrEx>
        <w:trPr>
          <w:trHeight w:val="660" w:hRule="atLeast"/>
        </w:trPr>
        <w:tc>
          <w:tcPr>
            <w:tcW w:w="221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rPr>
              <w:t>合计总价：（大写）</w:t>
            </w:r>
          </w:p>
        </w:tc>
        <w:tc>
          <w:tcPr>
            <w:tcW w:w="5117"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仿宋" w:hAnsi="仿宋" w:eastAsia="仿宋" w:cs="仿宋"/>
                <w:color w:val="000000"/>
                <w:sz w:val="22"/>
              </w:rPr>
            </w:pPr>
          </w:p>
        </w:tc>
        <w:tc>
          <w:tcPr>
            <w:tcW w:w="1897"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left"/>
              <w:textAlignment w:val="center"/>
              <w:rPr>
                <w:rFonts w:ascii="仿宋" w:hAnsi="仿宋" w:eastAsia="仿宋" w:cs="仿宋"/>
                <w:color w:val="000000"/>
                <w:szCs w:val="21"/>
              </w:rPr>
            </w:pPr>
          </w:p>
        </w:tc>
      </w:tr>
      <w:tr>
        <w:tblPrEx>
          <w:tblCellMar>
            <w:top w:w="0" w:type="dxa"/>
            <w:left w:w="108" w:type="dxa"/>
            <w:bottom w:w="0" w:type="dxa"/>
            <w:right w:w="108" w:type="dxa"/>
          </w:tblCellMar>
        </w:tblPrEx>
        <w:trPr>
          <w:trHeight w:val="823" w:hRule="atLeast"/>
        </w:trPr>
        <w:tc>
          <w:tcPr>
            <w:tcW w:w="9229" w:type="dxa"/>
            <w:gridSpan w:val="8"/>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hint="eastAsia" w:ascii="仿宋" w:hAnsi="仿宋" w:eastAsia="仿宋" w:cs="仿宋"/>
                <w:b/>
                <w:bCs/>
                <w:color w:val="000000"/>
                <w:kern w:val="0"/>
                <w:sz w:val="24"/>
              </w:rPr>
            </w:pPr>
            <w:r>
              <w:rPr>
                <w:rFonts w:hint="eastAsia" w:ascii="仿宋" w:hAnsi="仿宋" w:eastAsia="仿宋" w:cs="仿宋"/>
                <w:b/>
                <w:bCs/>
                <w:color w:val="000000"/>
                <w:kern w:val="0"/>
                <w:sz w:val="24"/>
              </w:rPr>
              <w:t>说明：1、此价格含13%增值税专用发票、运输费用、装卸费用。</w:t>
            </w:r>
          </w:p>
          <w:p>
            <w:pPr>
              <w:widowControl/>
              <w:jc w:val="left"/>
              <w:textAlignment w:val="center"/>
              <w:rPr>
                <w:rFonts w:ascii="仿宋" w:hAnsi="仿宋" w:eastAsia="仿宋" w:cs="仿宋"/>
                <w:color w:val="000000"/>
                <w:szCs w:val="21"/>
              </w:rPr>
            </w:pPr>
            <w:r>
              <w:rPr>
                <w:rFonts w:hint="eastAsia" w:ascii="仿宋" w:hAnsi="仿宋" w:eastAsia="仿宋" w:cs="仿宋"/>
                <w:b/>
                <w:bCs/>
                <w:color w:val="000000"/>
                <w:kern w:val="0"/>
                <w:sz w:val="24"/>
              </w:rPr>
              <w:t xml:space="preserve">      2、货到项目施工现场7日内付至95%。5%留作质保金，待质保期届满无质量问题后（质保期2年）无息付清。支付方式为转账。</w:t>
            </w:r>
          </w:p>
        </w:tc>
      </w:tr>
    </w:tbl>
    <w:p>
      <w:pPr>
        <w:rPr>
          <w:rFonts w:ascii="仿宋" w:hAnsi="仿宋" w:eastAsia="仿宋" w:cs="仿宋"/>
          <w:b/>
          <w:bCs/>
          <w:sz w:val="28"/>
          <w:szCs w:val="28"/>
        </w:rPr>
      </w:pPr>
      <w:r>
        <w:rPr>
          <w:rFonts w:hint="eastAsia" w:ascii="仿宋" w:hAnsi="仿宋" w:eastAsia="仿宋" w:cs="仿宋"/>
          <w:b/>
          <w:bCs/>
          <w:sz w:val="28"/>
          <w:szCs w:val="28"/>
        </w:rPr>
        <w:t>三、供货时间：</w:t>
      </w:r>
    </w:p>
    <w:p>
      <w:pPr>
        <w:ind w:firstLine="560" w:firstLineChars="200"/>
        <w:rPr>
          <w:rFonts w:ascii="仿宋" w:hAnsi="仿宋" w:eastAsia="仿宋" w:cs="仿宋"/>
          <w:sz w:val="28"/>
          <w:szCs w:val="28"/>
        </w:rPr>
      </w:pPr>
      <w:r>
        <w:rPr>
          <w:rFonts w:hint="eastAsia" w:ascii="仿宋" w:hAnsi="仿宋" w:eastAsia="仿宋" w:cs="仿宋"/>
          <w:sz w:val="28"/>
          <w:szCs w:val="28"/>
        </w:rPr>
        <w:t>1.自合同签订后，乙方根据甲方实际需求情况发货，发货前甲方提前两天通知乙方备货，乙方接到甲方通知后及时备货发货，不得耽误工程使用。</w:t>
      </w:r>
    </w:p>
    <w:p>
      <w:pPr>
        <w:ind w:firstLine="560" w:firstLineChars="200"/>
        <w:rPr>
          <w:rFonts w:ascii="仿宋" w:hAnsi="仿宋" w:eastAsia="仿宋" w:cs="仿宋"/>
          <w:sz w:val="28"/>
          <w:szCs w:val="28"/>
          <w:highlight w:val="yellow"/>
        </w:rPr>
      </w:pPr>
      <w:r>
        <w:rPr>
          <w:rFonts w:hint="eastAsia" w:ascii="仿宋" w:hAnsi="仿宋" w:eastAsia="仿宋" w:cs="仿宋"/>
          <w:sz w:val="28"/>
          <w:szCs w:val="28"/>
        </w:rPr>
        <w:t>2.合同履行期间不能及时保障供应，每出现一次，罚款1000元。累计出现三次，甲方有权单方面解除合同，乙方不得进行任何阻挠。</w:t>
      </w:r>
    </w:p>
    <w:p>
      <w:pPr>
        <w:rPr>
          <w:rFonts w:ascii="仿宋" w:hAnsi="仿宋" w:eastAsia="仿宋" w:cs="仿宋"/>
          <w:sz w:val="28"/>
          <w:szCs w:val="28"/>
        </w:rPr>
      </w:pPr>
      <w:r>
        <w:rPr>
          <w:rFonts w:hint="eastAsia" w:ascii="仿宋" w:hAnsi="仿宋" w:eastAsia="仿宋" w:cs="仿宋"/>
          <w:b/>
          <w:bCs/>
          <w:sz w:val="28"/>
          <w:szCs w:val="28"/>
        </w:rPr>
        <w:t>四、验收标准及运输风险：</w:t>
      </w:r>
    </w:p>
    <w:p>
      <w:pPr>
        <w:ind w:firstLine="560" w:firstLineChars="200"/>
        <w:rPr>
          <w:rFonts w:ascii="仿宋" w:hAnsi="仿宋" w:eastAsia="仿宋" w:cs="仿宋"/>
          <w:sz w:val="28"/>
          <w:szCs w:val="28"/>
        </w:rPr>
      </w:pPr>
      <w:r>
        <w:rPr>
          <w:rFonts w:hint="eastAsia" w:ascii="仿宋" w:hAnsi="仿宋" w:eastAsia="仿宋" w:cs="仿宋"/>
          <w:sz w:val="28"/>
          <w:szCs w:val="28"/>
        </w:rPr>
        <w:t>1.乙方提供产品检验报告、产品质量保证书、产品合格证书等。</w:t>
      </w:r>
    </w:p>
    <w:p>
      <w:pPr>
        <w:ind w:firstLine="560" w:firstLineChars="200"/>
        <w:rPr>
          <w:rFonts w:ascii="仿宋" w:hAnsi="仿宋" w:eastAsia="仿宋" w:cs="仿宋"/>
          <w:sz w:val="28"/>
          <w:szCs w:val="28"/>
        </w:rPr>
      </w:pPr>
      <w:r>
        <w:rPr>
          <w:rFonts w:hint="eastAsia" w:ascii="仿宋" w:hAnsi="仿宋" w:eastAsia="仿宋" w:cs="仿宋"/>
          <w:sz w:val="28"/>
          <w:szCs w:val="28"/>
        </w:rPr>
        <w:t>2.乙方的供货的产品必须与所认可的样品一致，如发生质量、规格及数量与合同要求不符的，乙方必须无条件退货，由此造成的一切费用均由乙方承担。</w:t>
      </w:r>
    </w:p>
    <w:p>
      <w:pPr>
        <w:spacing w:line="580" w:lineRule="exact"/>
        <w:ind w:firstLine="560" w:firstLineChars="200"/>
        <w:rPr>
          <w:rFonts w:ascii="仿宋" w:hAnsi="仿宋" w:eastAsia="仿宋" w:cs="仿宋"/>
          <w:sz w:val="28"/>
          <w:szCs w:val="28"/>
        </w:rPr>
      </w:pPr>
      <w:r>
        <w:rPr>
          <w:rFonts w:hint="eastAsia" w:ascii="仿宋" w:hAnsi="仿宋" w:eastAsia="仿宋" w:cs="仿宋"/>
          <w:sz w:val="28"/>
          <w:szCs w:val="28"/>
        </w:rPr>
        <w:t>3.</w:t>
      </w:r>
      <w:r>
        <w:rPr>
          <w:rFonts w:hint="eastAsia" w:ascii="仿宋" w:hAnsi="仿宋" w:eastAsia="仿宋" w:cs="楷体_GB2312"/>
          <w:color w:val="000000"/>
          <w:sz w:val="28"/>
          <w:szCs w:val="28"/>
        </w:rPr>
        <w:t>产品质量标准执行照明灯具产品的相关技术要求等规定。</w:t>
      </w:r>
    </w:p>
    <w:p>
      <w:pPr>
        <w:ind w:firstLine="560" w:firstLineChars="200"/>
        <w:rPr>
          <w:rFonts w:ascii="仿宋" w:hAnsi="仿宋" w:eastAsia="仿宋" w:cs="仿宋"/>
          <w:sz w:val="28"/>
          <w:szCs w:val="28"/>
        </w:rPr>
      </w:pPr>
      <w:r>
        <w:rPr>
          <w:rFonts w:hint="eastAsia" w:ascii="仿宋" w:hAnsi="仿宋" w:eastAsia="仿宋" w:cs="仿宋"/>
          <w:sz w:val="28"/>
          <w:szCs w:val="28"/>
        </w:rPr>
        <w:t>3.1.产品照度、规格等技术要求在生产厂家的技术资料中给予说明。</w:t>
      </w:r>
    </w:p>
    <w:p>
      <w:pPr>
        <w:ind w:firstLine="560" w:firstLineChars="200"/>
        <w:rPr>
          <w:rFonts w:ascii="仿宋" w:hAnsi="仿宋" w:eastAsia="仿宋" w:cs="仿宋"/>
          <w:sz w:val="28"/>
          <w:szCs w:val="28"/>
        </w:rPr>
      </w:pPr>
      <w:r>
        <w:rPr>
          <w:rFonts w:hint="eastAsia" w:ascii="仿宋" w:hAnsi="仿宋" w:eastAsia="仿宋" w:cs="仿宋"/>
          <w:sz w:val="28"/>
          <w:szCs w:val="28"/>
        </w:rPr>
        <w:t>3.2.照明灯具和相关五金配件与线条的表面光洁、色泽均匀牢固，无溢边、气泡、翘曲、凹陷现象，规格一致密封效果好、开启灵活等，外观、外形尺寸、装配质量及力学性能等应符合国家标准的有关规定。</w:t>
      </w:r>
    </w:p>
    <w:p>
      <w:pPr>
        <w:ind w:firstLine="560" w:firstLineChars="200"/>
        <w:rPr>
          <w:rFonts w:ascii="仿宋" w:hAnsi="仿宋" w:eastAsia="仿宋" w:cs="仿宋"/>
          <w:sz w:val="28"/>
          <w:szCs w:val="28"/>
        </w:rPr>
      </w:pPr>
      <w:r>
        <w:rPr>
          <w:rFonts w:hint="eastAsia" w:ascii="仿宋" w:hAnsi="仿宋" w:eastAsia="仿宋" w:cs="仿宋"/>
          <w:sz w:val="28"/>
          <w:szCs w:val="28"/>
        </w:rPr>
        <w:t>3.3.产品的最大允许偏差、表观质量、结构质量、理化性能均按照卫生洁具产品的行业规范规定的技术指标中的优等品验收。</w:t>
      </w:r>
    </w:p>
    <w:p>
      <w:pPr>
        <w:ind w:firstLine="560" w:firstLineChars="200"/>
        <w:rPr>
          <w:rFonts w:ascii="仿宋" w:hAnsi="仿宋" w:eastAsia="仿宋" w:cs="仿宋"/>
          <w:sz w:val="28"/>
          <w:szCs w:val="28"/>
        </w:rPr>
      </w:pPr>
      <w:r>
        <w:rPr>
          <w:rFonts w:hint="eastAsia" w:ascii="仿宋" w:hAnsi="仿宋" w:eastAsia="仿宋" w:cs="仿宋"/>
          <w:sz w:val="28"/>
          <w:szCs w:val="28"/>
        </w:rPr>
        <w:t>3.4.在产品明显部位应有铭牌标示：商标和型号；包装符合GB6388和GB4892之规定；包装产品无腐蚀、足够强度并有防潮、防震措施，应有装箱单、合格证、产品使用说明及保修卡等。到现场产品应保证产品无摔碰痕迹，无几何变形、无划伤和修饰损伤等，保证到场后表面完好无损。</w:t>
      </w:r>
    </w:p>
    <w:p>
      <w:pPr>
        <w:ind w:firstLine="560" w:firstLineChars="200"/>
        <w:rPr>
          <w:rFonts w:ascii="仿宋" w:hAnsi="仿宋" w:eastAsia="仿宋" w:cs="仿宋"/>
          <w:sz w:val="28"/>
          <w:szCs w:val="28"/>
        </w:rPr>
      </w:pPr>
      <w:r>
        <w:rPr>
          <w:rFonts w:hint="eastAsia" w:ascii="仿宋" w:hAnsi="仿宋" w:eastAsia="仿宋" w:cs="仿宋"/>
          <w:sz w:val="28"/>
          <w:szCs w:val="28"/>
        </w:rPr>
        <w:t>4.当货物到场以后，甲方负责进场验收。</w:t>
      </w:r>
    </w:p>
    <w:p>
      <w:pPr>
        <w:ind w:firstLine="560" w:firstLineChars="200"/>
        <w:rPr>
          <w:rFonts w:ascii="仿宋" w:hAnsi="仿宋" w:eastAsia="仿宋" w:cs="仿宋"/>
          <w:sz w:val="28"/>
          <w:szCs w:val="28"/>
        </w:rPr>
      </w:pPr>
      <w:r>
        <w:rPr>
          <w:rFonts w:hint="eastAsia" w:ascii="仿宋" w:hAnsi="仿宋" w:eastAsia="仿宋" w:cs="仿宋"/>
          <w:sz w:val="28"/>
          <w:szCs w:val="28"/>
        </w:rPr>
        <w:t>5.运输风险：乙方在发货前应对所用运输车辆及配送产品质量及封车情况进行自检，产品必须符合规范标准，运输路上风险由乙方承担。</w:t>
      </w:r>
    </w:p>
    <w:p>
      <w:pPr>
        <w:rPr>
          <w:rFonts w:ascii="仿宋" w:hAnsi="仿宋" w:eastAsia="仿宋" w:cs="仿宋"/>
          <w:b/>
          <w:bCs/>
          <w:sz w:val="28"/>
          <w:szCs w:val="28"/>
        </w:rPr>
      </w:pPr>
      <w:r>
        <w:rPr>
          <w:rFonts w:hint="eastAsia" w:ascii="仿宋" w:hAnsi="仿宋" w:eastAsia="仿宋" w:cs="仿宋"/>
          <w:b/>
          <w:bCs/>
          <w:sz w:val="28"/>
          <w:szCs w:val="28"/>
        </w:rPr>
        <w:t>五、结算付款方式：</w:t>
      </w:r>
    </w:p>
    <w:p>
      <w:pPr>
        <w:ind w:firstLine="560" w:firstLineChars="200"/>
        <w:rPr>
          <w:rFonts w:hint="eastAsia" w:ascii="仿宋" w:hAnsi="仿宋" w:eastAsia="仿宋" w:cs="仿宋"/>
          <w:bCs/>
          <w:color w:val="000000"/>
          <w:kern w:val="0"/>
          <w:sz w:val="28"/>
          <w:szCs w:val="28"/>
        </w:rPr>
      </w:pPr>
      <w:r>
        <w:rPr>
          <w:rFonts w:hint="eastAsia" w:ascii="仿宋" w:hAnsi="仿宋" w:eastAsia="仿宋" w:cs="仿宋"/>
          <w:sz w:val="28"/>
          <w:szCs w:val="28"/>
        </w:rPr>
        <w:t>1.</w:t>
      </w:r>
      <w:r>
        <w:rPr>
          <w:rFonts w:hint="eastAsia" w:ascii="仿宋" w:hAnsi="仿宋" w:eastAsia="仿宋" w:cs="仿宋"/>
          <w:bCs/>
          <w:color w:val="000000"/>
          <w:kern w:val="0"/>
          <w:sz w:val="28"/>
          <w:szCs w:val="28"/>
        </w:rPr>
        <w:t xml:space="preserve"> 货到项目施工现场7日内付至95%。5%留作质保金，待质保期届满无质量问题后（质保期2年）无息付清。支付方式为转账。</w:t>
      </w:r>
    </w:p>
    <w:p>
      <w:pPr>
        <w:ind w:firstLine="560" w:firstLineChars="200"/>
        <w:rPr>
          <w:rFonts w:ascii="仿宋" w:hAnsi="仿宋" w:eastAsia="仿宋" w:cs="仿宋"/>
          <w:sz w:val="28"/>
          <w:szCs w:val="28"/>
        </w:rPr>
      </w:pPr>
      <w:r>
        <w:rPr>
          <w:rFonts w:hint="eastAsia" w:ascii="仿宋" w:hAnsi="仿宋" w:eastAsia="仿宋" w:cs="仿宋"/>
          <w:sz w:val="28"/>
          <w:szCs w:val="28"/>
        </w:rPr>
        <w:t>2.发票要求：乙方每次办理材料款时，必须开具与报价承诺一致的增值税专用发票，甲方及乙方双方名称、纳税人识别号、地址、电话、开户行及账号信息必须准确无误（与税务局备案信息保持一致），否则造成发票未经税务部门认证通过的，后果由乙方自行承担。</w:t>
      </w:r>
    </w:p>
    <w:p>
      <w:pPr>
        <w:rPr>
          <w:rFonts w:ascii="仿宋" w:hAnsi="仿宋" w:eastAsia="仿宋" w:cs="仿宋"/>
          <w:b/>
          <w:bCs/>
          <w:sz w:val="28"/>
          <w:szCs w:val="28"/>
        </w:rPr>
      </w:pPr>
      <w:r>
        <w:rPr>
          <w:rFonts w:hint="eastAsia" w:ascii="仿宋" w:hAnsi="仿宋" w:eastAsia="仿宋" w:cs="仿宋"/>
          <w:b/>
          <w:bCs/>
          <w:sz w:val="28"/>
          <w:szCs w:val="28"/>
        </w:rPr>
        <w:t>六、双方的权利和义务：</w:t>
      </w:r>
    </w:p>
    <w:p>
      <w:pPr>
        <w:ind w:firstLine="560" w:firstLineChars="200"/>
        <w:rPr>
          <w:rFonts w:ascii="仿宋" w:hAnsi="仿宋" w:eastAsia="仿宋" w:cs="仿宋"/>
          <w:sz w:val="28"/>
          <w:szCs w:val="28"/>
        </w:rPr>
      </w:pPr>
      <w:r>
        <w:rPr>
          <w:rFonts w:hint="eastAsia" w:ascii="仿宋" w:hAnsi="仿宋" w:eastAsia="仿宋" w:cs="仿宋"/>
          <w:sz w:val="28"/>
          <w:szCs w:val="28"/>
        </w:rPr>
        <w:t>1.乙方需指定专人负责处理施工过程中的一切有关问题，接受甲方有关工程施工过程中材料质量方面的监督管理，并认可因违反有关规定而发生的费用。</w:t>
      </w:r>
    </w:p>
    <w:p>
      <w:pPr>
        <w:ind w:firstLine="560" w:firstLineChars="200"/>
        <w:rPr>
          <w:rFonts w:ascii="仿宋" w:hAnsi="仿宋" w:eastAsia="仿宋" w:cs="仿宋"/>
          <w:sz w:val="28"/>
          <w:szCs w:val="28"/>
        </w:rPr>
      </w:pPr>
      <w:r>
        <w:rPr>
          <w:rFonts w:hint="eastAsia" w:ascii="仿宋" w:hAnsi="仿宋" w:eastAsia="仿宋" w:cs="仿宋"/>
          <w:sz w:val="28"/>
          <w:szCs w:val="28"/>
        </w:rPr>
        <w:t>2.乙方不能按照甲方时间及时供货，造成工程延期所给甲方造成的经济损失和违约责任则由乙方负责，特殊情况除外。</w:t>
      </w:r>
    </w:p>
    <w:p>
      <w:pPr>
        <w:ind w:firstLine="560" w:firstLineChars="200"/>
        <w:rPr>
          <w:rFonts w:ascii="仿宋" w:hAnsi="仿宋" w:eastAsia="仿宋" w:cs="仿宋"/>
          <w:sz w:val="28"/>
          <w:szCs w:val="28"/>
        </w:rPr>
      </w:pPr>
      <w:r>
        <w:rPr>
          <w:rFonts w:hint="eastAsia" w:ascii="仿宋" w:hAnsi="仿宋" w:eastAsia="仿宋" w:cs="仿宋"/>
          <w:sz w:val="28"/>
          <w:szCs w:val="28"/>
        </w:rPr>
        <w:t>3.合同签订后甲乙双方应严格按合同要求履行约定，不经双方协商同意，任何一方不得随意变更或解除合同条款，否则违约方须赔偿给对方造成的一切经济损失。</w:t>
      </w:r>
    </w:p>
    <w:p>
      <w:pPr>
        <w:ind w:firstLine="560" w:firstLineChars="200"/>
        <w:rPr>
          <w:rFonts w:ascii="仿宋" w:hAnsi="仿宋" w:eastAsia="仿宋" w:cs="仿宋"/>
          <w:sz w:val="28"/>
          <w:szCs w:val="28"/>
        </w:rPr>
      </w:pPr>
      <w:r>
        <w:rPr>
          <w:rFonts w:hint="eastAsia" w:ascii="仿宋" w:hAnsi="仿宋" w:eastAsia="仿宋" w:cs="仿宋"/>
          <w:sz w:val="28"/>
          <w:szCs w:val="28"/>
        </w:rPr>
        <w:t>4.甲方不按合同约定履行自己义务的行为，给乙方造成的损失，乙方有权要求甲方进行经济赔偿。</w:t>
      </w:r>
    </w:p>
    <w:p>
      <w:pPr>
        <w:ind w:firstLine="560" w:firstLineChars="200"/>
        <w:rPr>
          <w:rFonts w:ascii="仿宋" w:hAnsi="仿宋" w:eastAsia="仿宋" w:cs="仿宋"/>
          <w:sz w:val="28"/>
          <w:szCs w:val="28"/>
        </w:rPr>
      </w:pPr>
      <w:r>
        <w:rPr>
          <w:rFonts w:hint="eastAsia" w:ascii="仿宋" w:hAnsi="仿宋" w:eastAsia="仿宋" w:cs="仿宋"/>
          <w:sz w:val="28"/>
          <w:szCs w:val="28"/>
        </w:rPr>
        <w:t>5.乙方未按甲方指令、或不按合同约定履行自己义务的行为，甲方有权要求乙方进行经济赔偿。</w:t>
      </w:r>
    </w:p>
    <w:p>
      <w:pPr>
        <w:ind w:firstLine="560" w:firstLineChars="200"/>
        <w:rPr>
          <w:rFonts w:ascii="仿宋" w:hAnsi="仿宋" w:eastAsia="仿宋" w:cs="仿宋"/>
          <w:sz w:val="28"/>
          <w:szCs w:val="28"/>
        </w:rPr>
      </w:pPr>
      <w:r>
        <w:rPr>
          <w:rFonts w:hint="eastAsia" w:ascii="仿宋" w:hAnsi="仿宋" w:eastAsia="仿宋" w:cs="仿宋"/>
          <w:sz w:val="28"/>
          <w:szCs w:val="28"/>
        </w:rPr>
        <w:t>6.乙方提供的货品质量、规格等级不符合要求的，乙方必须无理由无条件的退回，且所有产生的费用及运输均由乙方自行承担。</w:t>
      </w:r>
    </w:p>
    <w:p>
      <w:pPr>
        <w:ind w:firstLine="560" w:firstLineChars="200"/>
        <w:rPr>
          <w:rFonts w:ascii="仿宋" w:hAnsi="仿宋" w:eastAsia="仿宋" w:cs="仿宋"/>
          <w:sz w:val="28"/>
          <w:szCs w:val="28"/>
        </w:rPr>
      </w:pPr>
      <w:r>
        <w:rPr>
          <w:rFonts w:hint="eastAsia" w:ascii="仿宋" w:hAnsi="仿宋" w:eastAsia="仿宋" w:cs="仿宋"/>
          <w:sz w:val="28"/>
          <w:szCs w:val="28"/>
        </w:rPr>
        <w:t>7.本产品质保期为2年。在保修期内，如出现任何非人为造成的质量问题，乙方免费进行维修，不能维修的免费进行更换。</w:t>
      </w:r>
    </w:p>
    <w:p>
      <w:pPr>
        <w:rPr>
          <w:rFonts w:ascii="仿宋" w:hAnsi="仿宋" w:eastAsia="仿宋" w:cs="仿宋"/>
          <w:b/>
          <w:bCs/>
          <w:sz w:val="28"/>
          <w:szCs w:val="28"/>
        </w:rPr>
      </w:pPr>
      <w:r>
        <w:rPr>
          <w:rFonts w:hint="eastAsia" w:ascii="仿宋" w:hAnsi="仿宋" w:eastAsia="仿宋" w:cs="仿宋"/>
          <w:b/>
          <w:bCs/>
          <w:sz w:val="28"/>
          <w:szCs w:val="28"/>
        </w:rPr>
        <w:t>七、合同争议的解决方式：</w:t>
      </w:r>
    </w:p>
    <w:p>
      <w:pPr>
        <w:rPr>
          <w:rFonts w:ascii="仿宋" w:hAnsi="仿宋" w:eastAsia="仿宋" w:cs="仿宋"/>
          <w:sz w:val="28"/>
          <w:szCs w:val="28"/>
        </w:rPr>
      </w:pPr>
      <w:r>
        <w:rPr>
          <w:rFonts w:hint="eastAsia" w:ascii="仿宋" w:hAnsi="仿宋" w:eastAsia="仿宋" w:cs="仿宋"/>
          <w:sz w:val="28"/>
          <w:szCs w:val="28"/>
        </w:rPr>
        <w:t>甲乙双方发生争议时，可通过协商解决，当协商解决不了时，可以采用下列2种方式解决：</w:t>
      </w:r>
    </w:p>
    <w:p>
      <w:pPr>
        <w:ind w:firstLine="560" w:firstLineChars="200"/>
        <w:rPr>
          <w:rFonts w:ascii="仿宋" w:hAnsi="仿宋" w:eastAsia="仿宋" w:cs="仿宋"/>
          <w:sz w:val="28"/>
          <w:szCs w:val="28"/>
        </w:rPr>
      </w:pPr>
      <w:r>
        <w:rPr>
          <w:rFonts w:hint="eastAsia" w:ascii="仿宋" w:hAnsi="仿宋" w:eastAsia="仿宋" w:cs="仿宋"/>
          <w:sz w:val="28"/>
          <w:szCs w:val="28"/>
        </w:rPr>
        <w:t>1.向仲裁委员会申请仲裁。</w:t>
      </w:r>
    </w:p>
    <w:p>
      <w:pPr>
        <w:ind w:firstLine="560" w:firstLineChars="200"/>
        <w:rPr>
          <w:rFonts w:ascii="仿宋" w:hAnsi="仿宋" w:eastAsia="仿宋" w:cs="仿宋"/>
          <w:sz w:val="28"/>
          <w:szCs w:val="28"/>
        </w:rPr>
      </w:pPr>
      <w:r>
        <w:rPr>
          <w:rFonts w:hint="eastAsia" w:ascii="仿宋" w:hAnsi="仿宋" w:eastAsia="仿宋" w:cs="仿宋"/>
          <w:sz w:val="28"/>
          <w:szCs w:val="28"/>
        </w:rPr>
        <w:t>2.向合同签订地人民法院起诉。</w:t>
      </w:r>
    </w:p>
    <w:p>
      <w:pPr>
        <w:rPr>
          <w:rFonts w:ascii="仿宋" w:hAnsi="仿宋" w:eastAsia="仿宋" w:cs="仿宋"/>
          <w:b/>
          <w:bCs/>
          <w:sz w:val="28"/>
          <w:szCs w:val="28"/>
        </w:rPr>
      </w:pPr>
      <w:r>
        <w:rPr>
          <w:rFonts w:hint="eastAsia" w:ascii="仿宋" w:hAnsi="仿宋" w:eastAsia="仿宋" w:cs="仿宋"/>
          <w:b/>
          <w:bCs/>
          <w:sz w:val="28"/>
          <w:szCs w:val="28"/>
        </w:rPr>
        <w:t>八、合同的生效及解除：</w:t>
      </w:r>
    </w:p>
    <w:p>
      <w:pPr>
        <w:ind w:firstLine="560" w:firstLineChars="200"/>
        <w:rPr>
          <w:rFonts w:ascii="仿宋" w:hAnsi="仿宋" w:eastAsia="仿宋" w:cs="仿宋"/>
          <w:sz w:val="28"/>
          <w:szCs w:val="28"/>
        </w:rPr>
      </w:pPr>
      <w:r>
        <w:rPr>
          <w:rFonts w:hint="eastAsia" w:ascii="仿宋" w:hAnsi="仿宋" w:eastAsia="仿宋" w:cs="仿宋"/>
          <w:sz w:val="28"/>
          <w:szCs w:val="28"/>
        </w:rPr>
        <w:t>1.合同经甲乙双方代表签字并加盖单位公章或合同专用章后即行生效。</w:t>
      </w:r>
    </w:p>
    <w:p>
      <w:pPr>
        <w:ind w:firstLine="560" w:firstLineChars="200"/>
        <w:rPr>
          <w:rFonts w:ascii="仿宋" w:hAnsi="仿宋" w:eastAsia="仿宋" w:cs="仿宋"/>
          <w:sz w:val="28"/>
          <w:szCs w:val="28"/>
        </w:rPr>
      </w:pPr>
      <w:r>
        <w:rPr>
          <w:rFonts w:hint="eastAsia" w:ascii="仿宋" w:hAnsi="仿宋" w:eastAsia="仿宋" w:cs="仿宋"/>
          <w:sz w:val="28"/>
          <w:szCs w:val="28"/>
        </w:rPr>
        <w:t>2.合同生效后甲乙双方都应严格履行合同。如出现问题应按照《经济合同法》等有关规定办理。</w:t>
      </w:r>
    </w:p>
    <w:p>
      <w:pPr>
        <w:ind w:firstLine="560" w:firstLineChars="200"/>
        <w:rPr>
          <w:rFonts w:ascii="仿宋" w:hAnsi="仿宋" w:eastAsia="仿宋" w:cs="仿宋"/>
          <w:sz w:val="28"/>
          <w:szCs w:val="28"/>
        </w:rPr>
      </w:pPr>
      <w:r>
        <w:rPr>
          <w:rFonts w:hint="eastAsia" w:ascii="仿宋" w:hAnsi="仿宋" w:eastAsia="仿宋" w:cs="仿宋"/>
          <w:sz w:val="28"/>
          <w:szCs w:val="28"/>
        </w:rPr>
        <w:t>1.本合同一式</w:t>
      </w:r>
      <w:r>
        <w:rPr>
          <w:rFonts w:hint="eastAsia" w:ascii="仿宋" w:hAnsi="仿宋" w:eastAsia="仿宋" w:cs="仿宋"/>
          <w:sz w:val="28"/>
          <w:szCs w:val="28"/>
          <w:u w:val="single"/>
        </w:rPr>
        <w:t xml:space="preserve"> 肆 </w:t>
      </w:r>
      <w:r>
        <w:rPr>
          <w:rFonts w:hint="eastAsia" w:ascii="仿宋" w:hAnsi="仿宋" w:eastAsia="仿宋" w:cs="仿宋"/>
          <w:sz w:val="28"/>
          <w:szCs w:val="28"/>
        </w:rPr>
        <w:t>份，甲方</w:t>
      </w:r>
      <w:r>
        <w:rPr>
          <w:rFonts w:hint="eastAsia" w:ascii="仿宋" w:hAnsi="仿宋" w:eastAsia="仿宋" w:cs="仿宋"/>
          <w:sz w:val="28"/>
          <w:szCs w:val="28"/>
          <w:u w:val="single"/>
        </w:rPr>
        <w:t xml:space="preserve"> 叁 </w:t>
      </w:r>
      <w:r>
        <w:rPr>
          <w:rFonts w:hint="eastAsia" w:ascii="仿宋" w:hAnsi="仿宋" w:eastAsia="仿宋" w:cs="仿宋"/>
          <w:sz w:val="28"/>
          <w:szCs w:val="28"/>
        </w:rPr>
        <w:t>份，乙方</w:t>
      </w:r>
      <w:r>
        <w:rPr>
          <w:rFonts w:hint="eastAsia" w:ascii="仿宋" w:hAnsi="仿宋" w:eastAsia="仿宋" w:cs="仿宋"/>
          <w:sz w:val="28"/>
          <w:szCs w:val="28"/>
          <w:u w:val="single"/>
        </w:rPr>
        <w:t xml:space="preserve"> 壹 </w:t>
      </w:r>
      <w:r>
        <w:rPr>
          <w:rFonts w:hint="eastAsia" w:ascii="仿宋" w:hAnsi="仿宋" w:eastAsia="仿宋" w:cs="仿宋"/>
          <w:sz w:val="28"/>
          <w:szCs w:val="28"/>
        </w:rPr>
        <w:t>份，具有同等法律效力。</w:t>
      </w:r>
    </w:p>
    <w:p>
      <w:pPr>
        <w:ind w:firstLine="560" w:firstLineChars="200"/>
        <w:rPr>
          <w:rFonts w:ascii="仿宋" w:hAnsi="仿宋" w:eastAsia="仿宋" w:cs="仿宋"/>
          <w:sz w:val="28"/>
          <w:szCs w:val="28"/>
        </w:rPr>
      </w:pPr>
      <w:r>
        <w:rPr>
          <w:rFonts w:hint="eastAsia" w:ascii="仿宋" w:hAnsi="仿宋" w:eastAsia="仿宋" w:cs="仿宋"/>
          <w:sz w:val="28"/>
          <w:szCs w:val="28"/>
        </w:rPr>
        <w:t>2.合同期满及货款两清时，本合同自行解除。</w:t>
      </w:r>
    </w:p>
    <w:p>
      <w:pPr>
        <w:ind w:firstLine="560" w:firstLineChars="200"/>
        <w:rPr>
          <w:rFonts w:ascii="仿宋" w:hAnsi="仿宋" w:eastAsia="仿宋" w:cs="仿宋"/>
          <w:sz w:val="28"/>
          <w:szCs w:val="28"/>
        </w:rPr>
      </w:pPr>
      <w:r>
        <w:rPr>
          <w:rFonts w:hint="eastAsia" w:ascii="仿宋" w:hAnsi="仿宋" w:eastAsia="仿宋" w:cs="仿宋"/>
          <w:sz w:val="28"/>
          <w:szCs w:val="28"/>
        </w:rPr>
        <w:t>3.本合同未尽事宜，双方可签订补充协议，本合同与补充协议不一致的地方，以补充协议为准。</w:t>
      </w:r>
    </w:p>
    <w:p>
      <w:pPr>
        <w:rPr>
          <w:rFonts w:ascii="仿宋" w:hAnsi="仿宋" w:eastAsia="仿宋" w:cs="楷体_GB2312"/>
          <w:color w:val="000000"/>
          <w:sz w:val="28"/>
          <w:szCs w:val="28"/>
        </w:rPr>
      </w:pPr>
      <w:r>
        <w:rPr>
          <w:rFonts w:hint="eastAsia" w:ascii="仿宋" w:hAnsi="仿宋" w:eastAsia="仿宋" w:cs="楷体_GB2312"/>
          <w:color w:val="000000"/>
          <w:sz w:val="28"/>
          <w:szCs w:val="28"/>
        </w:rPr>
        <w:t>以下附件一：</w:t>
      </w:r>
      <w:r>
        <w:rPr>
          <w:rFonts w:hint="eastAsia" w:ascii="仿宋" w:hAnsi="仿宋" w:eastAsia="仿宋" w:cs="宋体"/>
          <w:color w:val="000000"/>
          <w:kern w:val="0"/>
          <w:sz w:val="28"/>
          <w:szCs w:val="28"/>
        </w:rPr>
        <w:t>4#厂房照明灯吊杆尺寸清单</w:t>
      </w:r>
    </w:p>
    <w:p>
      <w:pPr>
        <w:rPr>
          <w:rFonts w:ascii="仿宋" w:hAnsi="仿宋" w:eastAsia="仿宋" w:cs="楷体_GB2312"/>
          <w:color w:val="000000"/>
          <w:sz w:val="28"/>
          <w:szCs w:val="28"/>
        </w:rPr>
      </w:pPr>
    </w:p>
    <w:p>
      <w:pPr>
        <w:rPr>
          <w:rFonts w:ascii="仿宋" w:hAnsi="仿宋" w:eastAsia="仿宋" w:cs="楷体_GB2312"/>
          <w:color w:val="000000"/>
          <w:sz w:val="28"/>
          <w:szCs w:val="28"/>
        </w:rPr>
      </w:pPr>
      <w:r>
        <w:rPr>
          <w:rFonts w:hint="eastAsia" w:ascii="仿宋" w:hAnsi="仿宋" w:eastAsia="仿宋" w:cs="楷体_GB2312"/>
          <w:color w:val="000000"/>
          <w:sz w:val="28"/>
          <w:szCs w:val="28"/>
        </w:rPr>
        <w:t>甲方（盖章）：                   乙方（盖章）：</w:t>
      </w:r>
    </w:p>
    <w:p>
      <w:pPr>
        <w:rPr>
          <w:rFonts w:ascii="仿宋" w:hAnsi="仿宋" w:eastAsia="仿宋" w:cs="楷体_GB2312"/>
          <w:color w:val="000000"/>
          <w:sz w:val="24"/>
          <w:szCs w:val="28"/>
        </w:rPr>
      </w:pPr>
    </w:p>
    <w:p>
      <w:pPr>
        <w:rPr>
          <w:rFonts w:ascii="仿宋" w:hAnsi="仿宋" w:eastAsia="仿宋" w:cs="楷体_GB2312"/>
          <w:color w:val="000000"/>
          <w:szCs w:val="21"/>
        </w:rPr>
      </w:pPr>
      <w:r>
        <w:rPr>
          <w:rFonts w:hint="eastAsia" w:ascii="仿宋" w:hAnsi="仿宋" w:eastAsia="仿宋" w:cs="楷体_GB2312"/>
          <w:color w:val="000000"/>
          <w:sz w:val="28"/>
          <w:szCs w:val="28"/>
        </w:rPr>
        <w:t xml:space="preserve">安徽新集矿山建设工程有限公司 </w:t>
      </w:r>
    </w:p>
    <w:p>
      <w:pPr>
        <w:spacing w:line="276" w:lineRule="auto"/>
        <w:rPr>
          <w:rFonts w:ascii="仿宋" w:hAnsi="仿宋" w:eastAsia="仿宋" w:cs="楷体_GB2312"/>
          <w:color w:val="000000"/>
          <w:szCs w:val="21"/>
        </w:rPr>
      </w:pPr>
      <w:r>
        <w:rPr>
          <w:rFonts w:hint="eastAsia" w:ascii="仿宋" w:hAnsi="仿宋" w:eastAsia="仿宋" w:cs="楷体_GB2312"/>
          <w:color w:val="000000"/>
          <w:szCs w:val="21"/>
        </w:rPr>
        <w:t xml:space="preserve">开户行：中国银行淮南新集支行               开户行：         </w:t>
      </w:r>
    </w:p>
    <w:p>
      <w:pPr>
        <w:spacing w:line="276" w:lineRule="auto"/>
        <w:rPr>
          <w:rFonts w:ascii="仿宋" w:hAnsi="仿宋" w:eastAsia="仿宋" w:cs="楷体_GB2312"/>
          <w:color w:val="000000"/>
          <w:szCs w:val="28"/>
        </w:rPr>
      </w:pPr>
      <w:r>
        <w:rPr>
          <w:rFonts w:hint="eastAsia" w:ascii="仿宋" w:hAnsi="仿宋" w:eastAsia="仿宋" w:cs="楷体_GB2312"/>
          <w:color w:val="000000"/>
          <w:szCs w:val="21"/>
        </w:rPr>
        <w:t>账号：181205791225                         账号：</w:t>
      </w:r>
    </w:p>
    <w:p>
      <w:pPr>
        <w:spacing w:line="480" w:lineRule="auto"/>
        <w:rPr>
          <w:rFonts w:ascii="仿宋" w:hAnsi="仿宋" w:eastAsia="仿宋" w:cs="楷体_GB2312"/>
          <w:color w:val="000000"/>
          <w:sz w:val="28"/>
          <w:szCs w:val="28"/>
        </w:rPr>
      </w:pPr>
      <w:r>
        <w:rPr>
          <w:rFonts w:hint="eastAsia" w:ascii="仿宋" w:hAnsi="仿宋" w:eastAsia="仿宋" w:cs="楷体_GB2312"/>
          <w:color w:val="000000"/>
          <w:sz w:val="28"/>
          <w:szCs w:val="28"/>
        </w:rPr>
        <w:t>法人或代理人：                  法人或代理人：</w:t>
      </w:r>
    </w:p>
    <w:p>
      <w:pPr>
        <w:spacing w:line="480" w:lineRule="auto"/>
        <w:rPr>
          <w:rFonts w:ascii="仿宋" w:hAnsi="仿宋" w:eastAsia="仿宋" w:cs="楷体_GB2312"/>
          <w:color w:val="000000"/>
          <w:sz w:val="28"/>
          <w:szCs w:val="28"/>
        </w:rPr>
      </w:pPr>
    </w:p>
    <w:p>
      <w:pPr>
        <w:spacing w:line="480" w:lineRule="auto"/>
        <w:rPr>
          <w:rFonts w:ascii="仿宋" w:hAnsi="仿宋" w:eastAsia="仿宋" w:cs="楷体_GB2312"/>
          <w:color w:val="000000"/>
          <w:sz w:val="28"/>
          <w:szCs w:val="28"/>
        </w:rPr>
      </w:pPr>
      <w:r>
        <w:rPr>
          <w:rFonts w:hint="eastAsia" w:ascii="仿宋" w:hAnsi="仿宋" w:eastAsia="仿宋" w:cs="楷体_GB2312"/>
          <w:color w:val="000000"/>
          <w:sz w:val="28"/>
          <w:szCs w:val="28"/>
        </w:rPr>
        <w:t>年    月    日                   年    月    日</w:t>
      </w:r>
    </w:p>
    <w:p>
      <w:pPr>
        <w:spacing w:line="480" w:lineRule="auto"/>
        <w:rPr>
          <w:rFonts w:ascii="仿宋" w:hAnsi="仿宋" w:eastAsia="仿宋" w:cs="楷体_GB2312"/>
          <w:color w:val="000000"/>
          <w:sz w:val="28"/>
          <w:szCs w:val="28"/>
        </w:rPr>
      </w:pPr>
    </w:p>
    <w:p>
      <w:pPr>
        <w:spacing w:line="480" w:lineRule="auto"/>
        <w:rPr>
          <w:rFonts w:hint="eastAsia" w:ascii="仿宋" w:hAnsi="仿宋" w:eastAsia="仿宋" w:cs="楷体_GB2312"/>
          <w:color w:val="000000"/>
          <w:sz w:val="28"/>
          <w:szCs w:val="28"/>
        </w:rPr>
      </w:pPr>
    </w:p>
    <w:p>
      <w:pPr>
        <w:spacing w:line="480" w:lineRule="auto"/>
        <w:rPr>
          <w:rFonts w:ascii="仿宋" w:hAnsi="仿宋" w:eastAsia="仿宋" w:cs="楷体_GB2312"/>
          <w:color w:val="000000"/>
          <w:sz w:val="28"/>
          <w:szCs w:val="28"/>
        </w:rPr>
      </w:pPr>
    </w:p>
    <w:p>
      <w:pPr>
        <w:spacing w:line="480" w:lineRule="auto"/>
        <w:rPr>
          <w:rFonts w:ascii="仿宋" w:hAnsi="仿宋" w:eastAsia="仿宋" w:cs="楷体_GB2312"/>
          <w:color w:val="000000"/>
          <w:sz w:val="28"/>
          <w:szCs w:val="28"/>
        </w:rPr>
      </w:pPr>
      <w:r>
        <w:rPr>
          <w:rFonts w:hint="eastAsia" w:ascii="仿宋" w:hAnsi="仿宋" w:eastAsia="仿宋" w:cs="楷体_GB2312"/>
          <w:color w:val="000000"/>
          <w:sz w:val="28"/>
          <w:szCs w:val="28"/>
        </w:rPr>
        <w:t>附件一</w:t>
      </w:r>
    </w:p>
    <w:tbl>
      <w:tblPr>
        <w:tblStyle w:val="4"/>
        <w:tblW w:w="8765" w:type="dxa"/>
        <w:tblInd w:w="93" w:type="dxa"/>
        <w:tblLayout w:type="fixed"/>
        <w:tblCellMar>
          <w:top w:w="0" w:type="dxa"/>
          <w:left w:w="108" w:type="dxa"/>
          <w:bottom w:w="0" w:type="dxa"/>
          <w:right w:w="108" w:type="dxa"/>
        </w:tblCellMar>
      </w:tblPr>
      <w:tblGrid>
        <w:gridCol w:w="575"/>
        <w:gridCol w:w="1418"/>
        <w:gridCol w:w="1200"/>
        <w:gridCol w:w="615"/>
        <w:gridCol w:w="855"/>
        <w:gridCol w:w="1035"/>
        <w:gridCol w:w="1080"/>
        <w:gridCol w:w="990"/>
        <w:gridCol w:w="997"/>
      </w:tblGrid>
      <w:tr>
        <w:tblPrEx>
          <w:tblCellMar>
            <w:top w:w="0" w:type="dxa"/>
            <w:left w:w="108" w:type="dxa"/>
            <w:bottom w:w="0" w:type="dxa"/>
            <w:right w:w="108" w:type="dxa"/>
          </w:tblCellMar>
        </w:tblPrEx>
        <w:trPr>
          <w:trHeight w:val="510" w:hRule="atLeast"/>
        </w:trPr>
        <w:tc>
          <w:tcPr>
            <w:tcW w:w="8765" w:type="dxa"/>
            <w:gridSpan w:val="9"/>
            <w:tcBorders>
              <w:top w:val="nil"/>
              <w:left w:val="nil"/>
              <w:bottom w:val="nil"/>
              <w:right w:val="nil"/>
            </w:tcBorders>
            <w:shd w:val="clear" w:color="auto" w:fill="auto"/>
            <w:noWrap/>
            <w:vAlign w:val="center"/>
          </w:tcPr>
          <w:p>
            <w:pPr>
              <w:widowControl/>
              <w:jc w:val="center"/>
              <w:textAlignment w:val="center"/>
              <w:rPr>
                <w:rFonts w:ascii="宋体" w:hAnsi="宋体" w:eastAsia="宋体" w:cs="宋体"/>
                <w:color w:val="000000"/>
                <w:kern w:val="0"/>
                <w:sz w:val="40"/>
                <w:szCs w:val="40"/>
                <w:u w:val="single"/>
              </w:rPr>
            </w:pPr>
          </w:p>
          <w:p>
            <w:pPr>
              <w:widowControl/>
              <w:ind w:firstLine="1600" w:firstLineChars="400"/>
              <w:textAlignment w:val="center"/>
              <w:rPr>
                <w:rFonts w:ascii="宋体" w:hAnsi="宋体" w:eastAsia="宋体" w:cs="宋体"/>
                <w:color w:val="000000"/>
                <w:kern w:val="0"/>
                <w:sz w:val="40"/>
                <w:szCs w:val="40"/>
              </w:rPr>
            </w:pPr>
            <w:r>
              <w:rPr>
                <w:rFonts w:hint="eastAsia" w:ascii="宋体" w:hAnsi="宋体" w:eastAsia="宋体" w:cs="宋体"/>
                <w:color w:val="000000"/>
                <w:kern w:val="0"/>
                <w:sz w:val="40"/>
                <w:szCs w:val="40"/>
              </w:rPr>
              <w:t>4#厂房照明灯吊杆尺寸清单</w:t>
            </w:r>
          </w:p>
        </w:tc>
      </w:tr>
      <w:tr>
        <w:tblPrEx>
          <w:tblCellMar>
            <w:top w:w="0" w:type="dxa"/>
            <w:left w:w="108" w:type="dxa"/>
            <w:bottom w:w="0" w:type="dxa"/>
            <w:right w:w="108" w:type="dxa"/>
          </w:tblCellMar>
        </w:tblPrEx>
        <w:trPr>
          <w:trHeight w:val="402"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序号</w:t>
            </w:r>
          </w:p>
        </w:tc>
        <w:tc>
          <w:tcPr>
            <w:tcW w:w="14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材料名称</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未扣除灯具尺寸（米）</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单位</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数量</w:t>
            </w:r>
          </w:p>
        </w:tc>
        <w:tc>
          <w:tcPr>
            <w:tcW w:w="10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灯具尺寸（米）</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szCs w:val="21"/>
              </w:rPr>
            </w:pPr>
            <w:r>
              <w:rPr>
                <w:rFonts w:hint="eastAsia"/>
                <w:kern w:val="0"/>
                <w:szCs w:val="21"/>
              </w:rPr>
              <w:t>扣除灯具尺寸（米）</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kern w:val="0"/>
                <w:szCs w:val="21"/>
              </w:rPr>
            </w:pPr>
            <w:r>
              <w:rPr>
                <w:rFonts w:hint="eastAsia"/>
                <w:kern w:val="0"/>
                <w:szCs w:val="21"/>
              </w:rPr>
              <w:t>单价</w:t>
            </w:r>
          </w:p>
        </w:tc>
        <w:tc>
          <w:tcPr>
            <w:tcW w:w="9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kern w:val="0"/>
                <w:szCs w:val="21"/>
              </w:rPr>
            </w:pPr>
            <w:r>
              <w:rPr>
                <w:rFonts w:hint="eastAsia"/>
                <w:kern w:val="0"/>
                <w:szCs w:val="21"/>
              </w:rPr>
              <w:t>合计</w:t>
            </w:r>
          </w:p>
        </w:tc>
      </w:tr>
      <w:tr>
        <w:tblPrEx>
          <w:tblCellMar>
            <w:top w:w="0" w:type="dxa"/>
            <w:left w:w="108" w:type="dxa"/>
            <w:bottom w:w="0" w:type="dxa"/>
            <w:right w:w="108" w:type="dxa"/>
          </w:tblCellMar>
        </w:tblPrEx>
        <w:trPr>
          <w:trHeight w:val="480"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1</w:t>
            </w:r>
          </w:p>
        </w:tc>
        <w:tc>
          <w:tcPr>
            <w:tcW w:w="141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LED高棚灯H1a杆吊</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1.25</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根</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36</w:t>
            </w:r>
          </w:p>
        </w:tc>
        <w:tc>
          <w:tcPr>
            <w:tcW w:w="10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0.3</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szCs w:val="21"/>
              </w:rPr>
            </w:pPr>
            <w:r>
              <w:rPr>
                <w:rFonts w:hint="eastAsia"/>
                <w:kern w:val="0"/>
                <w:szCs w:val="21"/>
              </w:rPr>
              <w:t>0.95</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kern w:val="0"/>
                <w:szCs w:val="21"/>
              </w:rPr>
            </w:pP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kern w:val="0"/>
                <w:szCs w:val="21"/>
              </w:rPr>
            </w:pPr>
          </w:p>
        </w:tc>
      </w:tr>
      <w:tr>
        <w:tblPrEx>
          <w:tblCellMar>
            <w:top w:w="0" w:type="dxa"/>
            <w:left w:w="108" w:type="dxa"/>
            <w:bottom w:w="0" w:type="dxa"/>
            <w:right w:w="108" w:type="dxa"/>
          </w:tblCellMar>
        </w:tblPrEx>
        <w:trPr>
          <w:trHeight w:val="480"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2</w:t>
            </w:r>
          </w:p>
        </w:tc>
        <w:tc>
          <w:tcPr>
            <w:tcW w:w="141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LED高棚灯H1a杆吊</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1.55</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根</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36</w:t>
            </w:r>
          </w:p>
        </w:tc>
        <w:tc>
          <w:tcPr>
            <w:tcW w:w="10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0.3</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szCs w:val="21"/>
              </w:rPr>
            </w:pPr>
            <w:r>
              <w:rPr>
                <w:rFonts w:hint="eastAsia"/>
                <w:kern w:val="0"/>
                <w:szCs w:val="21"/>
              </w:rPr>
              <w:t>1.25</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kern w:val="0"/>
                <w:szCs w:val="21"/>
              </w:rPr>
            </w:pP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kern w:val="0"/>
                <w:szCs w:val="21"/>
              </w:rPr>
            </w:pPr>
          </w:p>
        </w:tc>
      </w:tr>
      <w:tr>
        <w:tblPrEx>
          <w:tblCellMar>
            <w:top w:w="0" w:type="dxa"/>
            <w:left w:w="108" w:type="dxa"/>
            <w:bottom w:w="0" w:type="dxa"/>
            <w:right w:w="108" w:type="dxa"/>
          </w:tblCellMar>
        </w:tblPrEx>
        <w:trPr>
          <w:trHeight w:val="480"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3</w:t>
            </w:r>
          </w:p>
        </w:tc>
        <w:tc>
          <w:tcPr>
            <w:tcW w:w="141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LED高棚灯H1a杆吊</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1.9</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根</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36</w:t>
            </w:r>
          </w:p>
        </w:tc>
        <w:tc>
          <w:tcPr>
            <w:tcW w:w="10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0.3</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szCs w:val="21"/>
              </w:rPr>
            </w:pPr>
            <w:r>
              <w:rPr>
                <w:rFonts w:hint="eastAsia"/>
                <w:kern w:val="0"/>
                <w:szCs w:val="21"/>
              </w:rPr>
              <w:t>1.6</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kern w:val="0"/>
                <w:szCs w:val="21"/>
              </w:rPr>
            </w:pP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kern w:val="0"/>
                <w:szCs w:val="21"/>
              </w:rPr>
            </w:pPr>
          </w:p>
        </w:tc>
      </w:tr>
      <w:tr>
        <w:tblPrEx>
          <w:tblCellMar>
            <w:top w:w="0" w:type="dxa"/>
            <w:left w:w="108" w:type="dxa"/>
            <w:bottom w:w="0" w:type="dxa"/>
            <w:right w:w="108" w:type="dxa"/>
          </w:tblCellMar>
        </w:tblPrEx>
        <w:trPr>
          <w:trHeight w:val="480"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4</w:t>
            </w:r>
          </w:p>
        </w:tc>
        <w:tc>
          <w:tcPr>
            <w:tcW w:w="141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LED高棚灯H1a杆吊</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2.2</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根</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36</w:t>
            </w:r>
          </w:p>
        </w:tc>
        <w:tc>
          <w:tcPr>
            <w:tcW w:w="10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0.3</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szCs w:val="21"/>
              </w:rPr>
            </w:pPr>
            <w:r>
              <w:rPr>
                <w:rFonts w:hint="eastAsia"/>
                <w:kern w:val="0"/>
                <w:szCs w:val="21"/>
              </w:rPr>
              <w:t>1.9</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kern w:val="0"/>
                <w:szCs w:val="21"/>
              </w:rPr>
            </w:pP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kern w:val="0"/>
                <w:szCs w:val="21"/>
              </w:rPr>
            </w:pPr>
          </w:p>
        </w:tc>
      </w:tr>
      <w:tr>
        <w:tblPrEx>
          <w:tblCellMar>
            <w:top w:w="0" w:type="dxa"/>
            <w:left w:w="108" w:type="dxa"/>
            <w:bottom w:w="0" w:type="dxa"/>
            <w:right w:w="108" w:type="dxa"/>
          </w:tblCellMar>
        </w:tblPrEx>
        <w:trPr>
          <w:trHeight w:val="480"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5</w:t>
            </w:r>
          </w:p>
        </w:tc>
        <w:tc>
          <w:tcPr>
            <w:tcW w:w="141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LED高棚灯H1a杆吊</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2.5</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根</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36</w:t>
            </w:r>
          </w:p>
        </w:tc>
        <w:tc>
          <w:tcPr>
            <w:tcW w:w="10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0.3</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szCs w:val="21"/>
              </w:rPr>
            </w:pPr>
            <w:r>
              <w:rPr>
                <w:rFonts w:hint="eastAsia"/>
                <w:kern w:val="0"/>
                <w:szCs w:val="21"/>
              </w:rPr>
              <w:t>2.2</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kern w:val="0"/>
                <w:szCs w:val="21"/>
              </w:rPr>
            </w:pP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kern w:val="0"/>
                <w:szCs w:val="21"/>
              </w:rPr>
            </w:pPr>
          </w:p>
        </w:tc>
      </w:tr>
      <w:tr>
        <w:tblPrEx>
          <w:tblCellMar>
            <w:top w:w="0" w:type="dxa"/>
            <w:left w:w="108" w:type="dxa"/>
            <w:bottom w:w="0" w:type="dxa"/>
            <w:right w:w="108" w:type="dxa"/>
          </w:tblCellMar>
        </w:tblPrEx>
        <w:trPr>
          <w:trHeight w:val="480"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6</w:t>
            </w:r>
          </w:p>
        </w:tc>
        <w:tc>
          <w:tcPr>
            <w:tcW w:w="141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LED高棚灯H1a杆吊</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2.8</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根</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36</w:t>
            </w:r>
          </w:p>
        </w:tc>
        <w:tc>
          <w:tcPr>
            <w:tcW w:w="10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0.3</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szCs w:val="21"/>
              </w:rPr>
            </w:pPr>
            <w:r>
              <w:rPr>
                <w:rFonts w:hint="eastAsia"/>
                <w:kern w:val="0"/>
                <w:szCs w:val="21"/>
              </w:rPr>
              <w:t>2.5</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kern w:val="0"/>
                <w:szCs w:val="21"/>
              </w:rPr>
            </w:pP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kern w:val="0"/>
                <w:szCs w:val="21"/>
              </w:rPr>
            </w:pPr>
          </w:p>
        </w:tc>
      </w:tr>
      <w:tr>
        <w:tblPrEx>
          <w:tblCellMar>
            <w:top w:w="0" w:type="dxa"/>
            <w:left w:w="108" w:type="dxa"/>
            <w:bottom w:w="0" w:type="dxa"/>
            <w:right w:w="108" w:type="dxa"/>
          </w:tblCellMar>
        </w:tblPrEx>
        <w:trPr>
          <w:trHeight w:val="480"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7</w:t>
            </w:r>
          </w:p>
        </w:tc>
        <w:tc>
          <w:tcPr>
            <w:tcW w:w="141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LED高棚灯H1a杆吊</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2.8</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根</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36</w:t>
            </w:r>
          </w:p>
        </w:tc>
        <w:tc>
          <w:tcPr>
            <w:tcW w:w="10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0.3</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szCs w:val="21"/>
              </w:rPr>
            </w:pPr>
            <w:r>
              <w:rPr>
                <w:rFonts w:hint="eastAsia"/>
                <w:kern w:val="0"/>
                <w:szCs w:val="21"/>
              </w:rPr>
              <w:t>2.5</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kern w:val="0"/>
                <w:szCs w:val="21"/>
              </w:rPr>
            </w:pP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kern w:val="0"/>
                <w:szCs w:val="21"/>
              </w:rPr>
            </w:pPr>
          </w:p>
        </w:tc>
      </w:tr>
      <w:tr>
        <w:tblPrEx>
          <w:tblCellMar>
            <w:top w:w="0" w:type="dxa"/>
            <w:left w:w="108" w:type="dxa"/>
            <w:bottom w:w="0" w:type="dxa"/>
            <w:right w:w="108" w:type="dxa"/>
          </w:tblCellMar>
        </w:tblPrEx>
        <w:trPr>
          <w:trHeight w:val="480"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8</w:t>
            </w:r>
          </w:p>
        </w:tc>
        <w:tc>
          <w:tcPr>
            <w:tcW w:w="141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LED高棚灯H1a杆吊</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2.5</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根</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36</w:t>
            </w:r>
          </w:p>
        </w:tc>
        <w:tc>
          <w:tcPr>
            <w:tcW w:w="10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0.3</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szCs w:val="21"/>
              </w:rPr>
            </w:pPr>
            <w:r>
              <w:rPr>
                <w:rFonts w:hint="eastAsia"/>
                <w:kern w:val="0"/>
                <w:szCs w:val="21"/>
              </w:rPr>
              <w:t>2.2</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kern w:val="0"/>
                <w:szCs w:val="21"/>
              </w:rPr>
            </w:pP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kern w:val="0"/>
                <w:szCs w:val="21"/>
              </w:rPr>
            </w:pPr>
          </w:p>
        </w:tc>
      </w:tr>
      <w:tr>
        <w:tblPrEx>
          <w:tblCellMar>
            <w:top w:w="0" w:type="dxa"/>
            <w:left w:w="108" w:type="dxa"/>
            <w:bottom w:w="0" w:type="dxa"/>
            <w:right w:w="108" w:type="dxa"/>
          </w:tblCellMar>
        </w:tblPrEx>
        <w:trPr>
          <w:trHeight w:val="1030"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9</w:t>
            </w:r>
          </w:p>
        </w:tc>
        <w:tc>
          <w:tcPr>
            <w:tcW w:w="141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LED高棚灯H1a杆吊</w:t>
            </w:r>
          </w:p>
        </w:tc>
        <w:tc>
          <w:tcPr>
            <w:tcW w:w="1200" w:type="dxa"/>
            <w:tcBorders>
              <w:top w:val="nil"/>
              <w:left w:val="single" w:color="000000" w:sz="4" w:space="0"/>
              <w:bottom w:val="nil"/>
              <w:right w:val="single" w:color="000000" w:sz="4" w:space="0"/>
            </w:tcBorders>
            <w:shd w:val="clear" w:color="auto" w:fill="auto"/>
            <w:noWrap/>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2.25</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根</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36</w:t>
            </w:r>
          </w:p>
        </w:tc>
        <w:tc>
          <w:tcPr>
            <w:tcW w:w="10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0.3</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szCs w:val="21"/>
              </w:rPr>
            </w:pPr>
            <w:r>
              <w:rPr>
                <w:rFonts w:hint="eastAsia"/>
                <w:kern w:val="0"/>
                <w:szCs w:val="21"/>
              </w:rPr>
              <w:t>1.95</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kern w:val="0"/>
                <w:szCs w:val="21"/>
              </w:rPr>
            </w:pPr>
          </w:p>
        </w:tc>
        <w:tc>
          <w:tcPr>
            <w:tcW w:w="9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kern w:val="0"/>
                <w:szCs w:val="21"/>
              </w:rPr>
            </w:pPr>
          </w:p>
        </w:tc>
      </w:tr>
      <w:tr>
        <w:tblPrEx>
          <w:tblCellMar>
            <w:top w:w="0" w:type="dxa"/>
            <w:left w:w="108" w:type="dxa"/>
            <w:bottom w:w="0" w:type="dxa"/>
            <w:right w:w="108" w:type="dxa"/>
          </w:tblCellMar>
        </w:tblPrEx>
        <w:trPr>
          <w:trHeight w:val="832"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10</w:t>
            </w:r>
          </w:p>
        </w:tc>
        <w:tc>
          <w:tcPr>
            <w:tcW w:w="141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LED高棚灯H1a杆吊</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2</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根</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36</w:t>
            </w:r>
          </w:p>
        </w:tc>
        <w:tc>
          <w:tcPr>
            <w:tcW w:w="10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0.3</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szCs w:val="21"/>
              </w:rPr>
            </w:pPr>
            <w:r>
              <w:rPr>
                <w:rFonts w:hint="eastAsia"/>
                <w:kern w:val="0"/>
                <w:szCs w:val="21"/>
              </w:rPr>
              <w:t>1.7</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kern w:val="0"/>
                <w:szCs w:val="21"/>
              </w:rPr>
            </w:pPr>
          </w:p>
        </w:tc>
        <w:tc>
          <w:tcPr>
            <w:tcW w:w="9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kern w:val="0"/>
                <w:szCs w:val="21"/>
              </w:rPr>
            </w:pPr>
          </w:p>
        </w:tc>
      </w:tr>
      <w:tr>
        <w:tblPrEx>
          <w:tblCellMar>
            <w:top w:w="0" w:type="dxa"/>
            <w:left w:w="108" w:type="dxa"/>
            <w:bottom w:w="0" w:type="dxa"/>
            <w:right w:w="108" w:type="dxa"/>
          </w:tblCellMar>
        </w:tblPrEx>
        <w:trPr>
          <w:trHeight w:val="480"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11</w:t>
            </w:r>
          </w:p>
        </w:tc>
        <w:tc>
          <w:tcPr>
            <w:tcW w:w="141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LED高棚灯H1a杆吊</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1.7</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根</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36</w:t>
            </w:r>
          </w:p>
        </w:tc>
        <w:tc>
          <w:tcPr>
            <w:tcW w:w="10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0.3</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szCs w:val="21"/>
              </w:rPr>
            </w:pPr>
            <w:r>
              <w:rPr>
                <w:rFonts w:hint="eastAsia"/>
                <w:kern w:val="0"/>
                <w:szCs w:val="21"/>
              </w:rPr>
              <w:t>1.4</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kern w:val="0"/>
                <w:szCs w:val="21"/>
              </w:rPr>
            </w:pPr>
          </w:p>
        </w:tc>
        <w:tc>
          <w:tcPr>
            <w:tcW w:w="9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kern w:val="0"/>
                <w:szCs w:val="21"/>
              </w:rPr>
            </w:pPr>
          </w:p>
        </w:tc>
      </w:tr>
      <w:tr>
        <w:tblPrEx>
          <w:tblCellMar>
            <w:top w:w="0" w:type="dxa"/>
            <w:left w:w="108" w:type="dxa"/>
            <w:bottom w:w="0" w:type="dxa"/>
            <w:right w:w="108" w:type="dxa"/>
          </w:tblCellMar>
        </w:tblPrEx>
        <w:trPr>
          <w:trHeight w:val="480"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12</w:t>
            </w:r>
          </w:p>
        </w:tc>
        <w:tc>
          <w:tcPr>
            <w:tcW w:w="141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LED高棚灯H1a杆吊</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1.35</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根</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36</w:t>
            </w:r>
          </w:p>
        </w:tc>
        <w:tc>
          <w:tcPr>
            <w:tcW w:w="10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0.3</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szCs w:val="21"/>
              </w:rPr>
            </w:pPr>
            <w:r>
              <w:rPr>
                <w:rFonts w:hint="eastAsia"/>
                <w:kern w:val="0"/>
                <w:szCs w:val="21"/>
              </w:rPr>
              <w:t>1.05</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kern w:val="0"/>
                <w:szCs w:val="21"/>
              </w:rPr>
            </w:pPr>
          </w:p>
        </w:tc>
        <w:tc>
          <w:tcPr>
            <w:tcW w:w="9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kern w:val="0"/>
                <w:szCs w:val="21"/>
              </w:rPr>
            </w:pPr>
          </w:p>
        </w:tc>
      </w:tr>
      <w:tr>
        <w:tblPrEx>
          <w:tblCellMar>
            <w:top w:w="0" w:type="dxa"/>
            <w:left w:w="108" w:type="dxa"/>
            <w:bottom w:w="0" w:type="dxa"/>
            <w:right w:w="108" w:type="dxa"/>
          </w:tblCellMar>
        </w:tblPrEx>
        <w:trPr>
          <w:trHeight w:val="480"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13</w:t>
            </w:r>
          </w:p>
        </w:tc>
        <w:tc>
          <w:tcPr>
            <w:tcW w:w="141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LED高棚灯H1a杆吊</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1.3</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根</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36</w:t>
            </w:r>
          </w:p>
        </w:tc>
        <w:tc>
          <w:tcPr>
            <w:tcW w:w="10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0.3</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szCs w:val="21"/>
              </w:rPr>
            </w:pPr>
            <w:r>
              <w:rPr>
                <w:rFonts w:hint="eastAsia"/>
                <w:kern w:val="0"/>
                <w:szCs w:val="21"/>
              </w:rPr>
              <w:t>1</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kern w:val="0"/>
                <w:szCs w:val="21"/>
              </w:rPr>
            </w:pPr>
          </w:p>
        </w:tc>
        <w:tc>
          <w:tcPr>
            <w:tcW w:w="9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kern w:val="0"/>
                <w:szCs w:val="21"/>
              </w:rPr>
            </w:pPr>
          </w:p>
        </w:tc>
      </w:tr>
      <w:tr>
        <w:tblPrEx>
          <w:tblCellMar>
            <w:top w:w="0" w:type="dxa"/>
            <w:left w:w="108" w:type="dxa"/>
            <w:bottom w:w="0" w:type="dxa"/>
            <w:right w:w="108" w:type="dxa"/>
          </w:tblCellMar>
        </w:tblPrEx>
        <w:trPr>
          <w:trHeight w:val="480"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14</w:t>
            </w:r>
          </w:p>
        </w:tc>
        <w:tc>
          <w:tcPr>
            <w:tcW w:w="141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LED高棚灯H1a杆吊</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1.6</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根</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36</w:t>
            </w:r>
          </w:p>
        </w:tc>
        <w:tc>
          <w:tcPr>
            <w:tcW w:w="10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0.3</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szCs w:val="21"/>
              </w:rPr>
            </w:pPr>
            <w:r>
              <w:rPr>
                <w:rFonts w:hint="eastAsia"/>
                <w:kern w:val="0"/>
                <w:szCs w:val="21"/>
              </w:rPr>
              <w:t>1.3</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kern w:val="0"/>
                <w:szCs w:val="21"/>
              </w:rPr>
            </w:pPr>
          </w:p>
        </w:tc>
        <w:tc>
          <w:tcPr>
            <w:tcW w:w="9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kern w:val="0"/>
                <w:szCs w:val="21"/>
              </w:rPr>
            </w:pPr>
          </w:p>
        </w:tc>
      </w:tr>
      <w:tr>
        <w:tblPrEx>
          <w:tblCellMar>
            <w:top w:w="0" w:type="dxa"/>
            <w:left w:w="108" w:type="dxa"/>
            <w:bottom w:w="0" w:type="dxa"/>
            <w:right w:w="108" w:type="dxa"/>
          </w:tblCellMar>
        </w:tblPrEx>
        <w:trPr>
          <w:trHeight w:val="480"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15</w:t>
            </w:r>
          </w:p>
        </w:tc>
        <w:tc>
          <w:tcPr>
            <w:tcW w:w="141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LED高棚灯H1a杆吊</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1.85</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根</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36</w:t>
            </w:r>
          </w:p>
        </w:tc>
        <w:tc>
          <w:tcPr>
            <w:tcW w:w="10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0.3</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szCs w:val="21"/>
              </w:rPr>
            </w:pPr>
            <w:r>
              <w:rPr>
                <w:rFonts w:hint="eastAsia"/>
                <w:kern w:val="0"/>
                <w:szCs w:val="21"/>
              </w:rPr>
              <w:t>1.55</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kern w:val="0"/>
                <w:szCs w:val="21"/>
              </w:rPr>
            </w:pPr>
          </w:p>
        </w:tc>
        <w:tc>
          <w:tcPr>
            <w:tcW w:w="9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kern w:val="0"/>
                <w:szCs w:val="21"/>
              </w:rPr>
            </w:pPr>
          </w:p>
        </w:tc>
      </w:tr>
      <w:tr>
        <w:tblPrEx>
          <w:tblCellMar>
            <w:top w:w="0" w:type="dxa"/>
            <w:left w:w="108" w:type="dxa"/>
            <w:bottom w:w="0" w:type="dxa"/>
            <w:right w:w="108" w:type="dxa"/>
          </w:tblCellMar>
        </w:tblPrEx>
        <w:trPr>
          <w:trHeight w:val="480"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16</w:t>
            </w:r>
          </w:p>
        </w:tc>
        <w:tc>
          <w:tcPr>
            <w:tcW w:w="141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LED高棚灯H1a杆吊</w:t>
            </w:r>
          </w:p>
        </w:tc>
        <w:tc>
          <w:tcPr>
            <w:tcW w:w="12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2.1</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根</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36</w:t>
            </w:r>
          </w:p>
        </w:tc>
        <w:tc>
          <w:tcPr>
            <w:tcW w:w="10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0.3</w:t>
            </w:r>
          </w:p>
        </w:tc>
        <w:tc>
          <w:tcPr>
            <w:tcW w:w="1080" w:type="dxa"/>
            <w:tcBorders>
              <w:top w:val="single" w:color="000000" w:sz="4" w:space="0"/>
              <w:left w:val="single" w:color="000000" w:sz="4" w:space="0"/>
              <w:bottom w:val="single" w:color="000000" w:sz="4" w:space="0"/>
              <w:right w:val="single" w:color="000000" w:sz="4" w:space="0"/>
            </w:tcBorders>
            <w:shd w:val="clear" w:color="auto" w:fill="FFFFFF"/>
            <w:vAlign w:val="center"/>
          </w:tcPr>
          <w:p>
            <w:pPr>
              <w:rPr>
                <w:szCs w:val="21"/>
              </w:rPr>
            </w:pPr>
            <w:r>
              <w:rPr>
                <w:rFonts w:hint="eastAsia"/>
                <w:kern w:val="0"/>
                <w:szCs w:val="21"/>
              </w:rPr>
              <w:t>1.8</w:t>
            </w:r>
          </w:p>
        </w:tc>
        <w:tc>
          <w:tcPr>
            <w:tcW w:w="9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kern w:val="0"/>
                <w:szCs w:val="21"/>
              </w:rPr>
            </w:pPr>
          </w:p>
        </w:tc>
        <w:tc>
          <w:tcPr>
            <w:tcW w:w="997"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kern w:val="0"/>
                <w:szCs w:val="21"/>
              </w:rPr>
            </w:pPr>
          </w:p>
        </w:tc>
      </w:tr>
      <w:tr>
        <w:tblPrEx>
          <w:tblCellMar>
            <w:top w:w="0" w:type="dxa"/>
            <w:left w:w="108" w:type="dxa"/>
            <w:bottom w:w="0" w:type="dxa"/>
            <w:right w:w="108" w:type="dxa"/>
          </w:tblCellMar>
        </w:tblPrEx>
        <w:trPr>
          <w:trHeight w:val="480"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17</w:t>
            </w:r>
          </w:p>
        </w:tc>
        <w:tc>
          <w:tcPr>
            <w:tcW w:w="141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LED高棚灯H1a杆吊</w:t>
            </w:r>
          </w:p>
        </w:tc>
        <w:tc>
          <w:tcPr>
            <w:tcW w:w="12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2.05</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根</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36</w:t>
            </w:r>
          </w:p>
        </w:tc>
        <w:tc>
          <w:tcPr>
            <w:tcW w:w="10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0.3</w:t>
            </w:r>
          </w:p>
        </w:tc>
        <w:tc>
          <w:tcPr>
            <w:tcW w:w="1080" w:type="dxa"/>
            <w:tcBorders>
              <w:top w:val="single" w:color="000000" w:sz="4" w:space="0"/>
              <w:left w:val="single" w:color="000000" w:sz="4" w:space="0"/>
              <w:bottom w:val="single" w:color="000000" w:sz="4" w:space="0"/>
              <w:right w:val="single" w:color="000000" w:sz="4" w:space="0"/>
            </w:tcBorders>
            <w:shd w:val="clear" w:color="auto" w:fill="FFFFFF"/>
            <w:vAlign w:val="center"/>
          </w:tcPr>
          <w:p>
            <w:pPr>
              <w:rPr>
                <w:szCs w:val="21"/>
              </w:rPr>
            </w:pPr>
            <w:r>
              <w:rPr>
                <w:rFonts w:hint="eastAsia"/>
                <w:kern w:val="0"/>
                <w:szCs w:val="21"/>
              </w:rPr>
              <w:t>1.75</w:t>
            </w:r>
          </w:p>
        </w:tc>
        <w:tc>
          <w:tcPr>
            <w:tcW w:w="9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kern w:val="0"/>
                <w:szCs w:val="21"/>
              </w:rPr>
            </w:pPr>
          </w:p>
        </w:tc>
        <w:tc>
          <w:tcPr>
            <w:tcW w:w="997"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kern w:val="0"/>
                <w:szCs w:val="21"/>
              </w:rPr>
            </w:pPr>
          </w:p>
        </w:tc>
      </w:tr>
      <w:tr>
        <w:tblPrEx>
          <w:tblCellMar>
            <w:top w:w="0" w:type="dxa"/>
            <w:left w:w="108" w:type="dxa"/>
            <w:bottom w:w="0" w:type="dxa"/>
            <w:right w:w="108" w:type="dxa"/>
          </w:tblCellMar>
        </w:tblPrEx>
        <w:trPr>
          <w:trHeight w:val="480"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18</w:t>
            </w:r>
          </w:p>
        </w:tc>
        <w:tc>
          <w:tcPr>
            <w:tcW w:w="141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LED高棚灯H1a杆吊</w:t>
            </w:r>
          </w:p>
        </w:tc>
        <w:tc>
          <w:tcPr>
            <w:tcW w:w="12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1.75</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根</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36</w:t>
            </w:r>
          </w:p>
        </w:tc>
        <w:tc>
          <w:tcPr>
            <w:tcW w:w="10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0.3</w:t>
            </w:r>
          </w:p>
        </w:tc>
        <w:tc>
          <w:tcPr>
            <w:tcW w:w="1080" w:type="dxa"/>
            <w:tcBorders>
              <w:top w:val="single" w:color="000000" w:sz="4" w:space="0"/>
              <w:left w:val="single" w:color="000000" w:sz="4" w:space="0"/>
              <w:bottom w:val="single" w:color="000000" w:sz="4" w:space="0"/>
              <w:right w:val="single" w:color="000000" w:sz="4" w:space="0"/>
            </w:tcBorders>
            <w:shd w:val="clear" w:color="auto" w:fill="FFFFFF"/>
            <w:vAlign w:val="center"/>
          </w:tcPr>
          <w:p>
            <w:pPr>
              <w:rPr>
                <w:szCs w:val="21"/>
              </w:rPr>
            </w:pPr>
            <w:r>
              <w:rPr>
                <w:rFonts w:hint="eastAsia"/>
                <w:kern w:val="0"/>
                <w:szCs w:val="21"/>
              </w:rPr>
              <w:t>1.45</w:t>
            </w:r>
          </w:p>
        </w:tc>
        <w:tc>
          <w:tcPr>
            <w:tcW w:w="9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kern w:val="0"/>
                <w:szCs w:val="21"/>
              </w:rPr>
            </w:pPr>
          </w:p>
        </w:tc>
        <w:tc>
          <w:tcPr>
            <w:tcW w:w="997"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kern w:val="0"/>
                <w:szCs w:val="21"/>
              </w:rPr>
            </w:pPr>
          </w:p>
        </w:tc>
      </w:tr>
      <w:tr>
        <w:tblPrEx>
          <w:tblCellMar>
            <w:top w:w="0" w:type="dxa"/>
            <w:left w:w="108" w:type="dxa"/>
            <w:bottom w:w="0" w:type="dxa"/>
            <w:right w:w="108" w:type="dxa"/>
          </w:tblCellMar>
        </w:tblPrEx>
        <w:trPr>
          <w:trHeight w:val="480"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19</w:t>
            </w:r>
          </w:p>
        </w:tc>
        <w:tc>
          <w:tcPr>
            <w:tcW w:w="141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LED高棚灯H1a杆吊</w:t>
            </w:r>
          </w:p>
        </w:tc>
        <w:tc>
          <w:tcPr>
            <w:tcW w:w="1200" w:type="dxa"/>
            <w:tcBorders>
              <w:top w:val="single" w:color="000000" w:sz="4" w:space="0"/>
              <w:left w:val="single" w:color="000000" w:sz="4" w:space="0"/>
              <w:bottom w:val="single" w:color="000000" w:sz="8" w:space="0"/>
              <w:right w:val="single" w:color="000000" w:sz="4" w:space="0"/>
            </w:tcBorders>
            <w:shd w:val="clear" w:color="auto" w:fill="FFFFFF"/>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1.5</w:t>
            </w:r>
          </w:p>
        </w:tc>
        <w:tc>
          <w:tcPr>
            <w:tcW w:w="615" w:type="dxa"/>
            <w:tcBorders>
              <w:top w:val="single" w:color="000000" w:sz="4" w:space="0"/>
              <w:left w:val="single" w:color="000000" w:sz="4" w:space="0"/>
              <w:bottom w:val="single" w:color="000000" w:sz="8" w:space="0"/>
              <w:right w:val="single" w:color="000000" w:sz="4" w:space="0"/>
            </w:tcBorders>
            <w:shd w:val="clear" w:color="auto" w:fill="auto"/>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根</w:t>
            </w:r>
          </w:p>
        </w:tc>
        <w:tc>
          <w:tcPr>
            <w:tcW w:w="855" w:type="dxa"/>
            <w:tcBorders>
              <w:top w:val="single" w:color="000000" w:sz="4" w:space="0"/>
              <w:left w:val="single" w:color="000000" w:sz="4" w:space="0"/>
              <w:bottom w:val="single" w:color="000000" w:sz="8" w:space="0"/>
              <w:right w:val="single" w:color="000000" w:sz="4" w:space="0"/>
            </w:tcBorders>
            <w:shd w:val="clear" w:color="auto" w:fill="auto"/>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36</w:t>
            </w:r>
          </w:p>
        </w:tc>
        <w:tc>
          <w:tcPr>
            <w:tcW w:w="1035" w:type="dxa"/>
            <w:tcBorders>
              <w:top w:val="single" w:color="000000" w:sz="4" w:space="0"/>
              <w:left w:val="single" w:color="000000" w:sz="4" w:space="0"/>
              <w:bottom w:val="single" w:color="000000" w:sz="8" w:space="0"/>
              <w:right w:val="single" w:color="000000" w:sz="4" w:space="0"/>
            </w:tcBorders>
            <w:shd w:val="clear" w:color="auto" w:fill="auto"/>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0.3</w:t>
            </w:r>
          </w:p>
        </w:tc>
        <w:tc>
          <w:tcPr>
            <w:tcW w:w="1080" w:type="dxa"/>
            <w:tcBorders>
              <w:top w:val="single" w:color="000000" w:sz="4" w:space="0"/>
              <w:left w:val="single" w:color="000000" w:sz="4" w:space="0"/>
              <w:bottom w:val="single" w:color="000000" w:sz="8" w:space="0"/>
              <w:right w:val="single" w:color="000000" w:sz="4" w:space="0"/>
            </w:tcBorders>
            <w:shd w:val="clear" w:color="auto" w:fill="FFFFFF"/>
            <w:vAlign w:val="center"/>
          </w:tcPr>
          <w:p>
            <w:pPr>
              <w:rPr>
                <w:szCs w:val="21"/>
              </w:rPr>
            </w:pPr>
            <w:r>
              <w:rPr>
                <w:rFonts w:hint="eastAsia"/>
                <w:kern w:val="0"/>
                <w:szCs w:val="21"/>
              </w:rPr>
              <w:t>1.2</w:t>
            </w:r>
          </w:p>
        </w:tc>
        <w:tc>
          <w:tcPr>
            <w:tcW w:w="990" w:type="dxa"/>
            <w:tcBorders>
              <w:top w:val="single" w:color="000000" w:sz="4" w:space="0"/>
              <w:left w:val="single" w:color="000000" w:sz="4" w:space="0"/>
              <w:bottom w:val="single" w:color="000000" w:sz="8" w:space="0"/>
              <w:right w:val="single" w:color="000000" w:sz="4" w:space="0"/>
            </w:tcBorders>
            <w:shd w:val="clear" w:color="auto" w:fill="FFFFFF"/>
            <w:vAlign w:val="center"/>
          </w:tcPr>
          <w:p>
            <w:pPr>
              <w:jc w:val="center"/>
              <w:rPr>
                <w:kern w:val="0"/>
                <w:szCs w:val="21"/>
              </w:rPr>
            </w:pPr>
          </w:p>
        </w:tc>
        <w:tc>
          <w:tcPr>
            <w:tcW w:w="997" w:type="dxa"/>
            <w:tcBorders>
              <w:top w:val="single" w:color="000000" w:sz="4" w:space="0"/>
              <w:left w:val="single" w:color="000000" w:sz="4" w:space="0"/>
              <w:bottom w:val="single" w:color="000000" w:sz="8" w:space="0"/>
              <w:right w:val="single" w:color="000000" w:sz="4" w:space="0"/>
            </w:tcBorders>
            <w:shd w:val="clear" w:color="auto" w:fill="FFFFFF"/>
            <w:vAlign w:val="center"/>
          </w:tcPr>
          <w:p>
            <w:pPr>
              <w:jc w:val="center"/>
              <w:rPr>
                <w:kern w:val="0"/>
                <w:szCs w:val="21"/>
              </w:rPr>
            </w:pPr>
          </w:p>
        </w:tc>
      </w:tr>
      <w:tr>
        <w:tblPrEx>
          <w:tblCellMar>
            <w:top w:w="0" w:type="dxa"/>
            <w:left w:w="108" w:type="dxa"/>
            <w:bottom w:w="0" w:type="dxa"/>
            <w:right w:w="108" w:type="dxa"/>
          </w:tblCellMar>
        </w:tblPrEx>
        <w:trPr>
          <w:trHeight w:val="480"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20</w:t>
            </w:r>
          </w:p>
        </w:tc>
        <w:tc>
          <w:tcPr>
            <w:tcW w:w="1418" w:type="dxa"/>
            <w:tcBorders>
              <w:top w:val="single" w:color="000000" w:sz="4" w:space="0"/>
              <w:left w:val="single" w:color="000000" w:sz="4" w:space="0"/>
              <w:bottom w:val="single" w:color="000000" w:sz="4" w:space="0"/>
              <w:right w:val="single" w:color="000000" w:sz="8" w:space="0"/>
            </w:tcBorders>
            <w:shd w:val="clear" w:color="auto" w:fill="auto"/>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LED高棚灯H1a杆吊</w:t>
            </w:r>
          </w:p>
        </w:tc>
        <w:tc>
          <w:tcPr>
            <w:tcW w:w="1200" w:type="dxa"/>
            <w:tcBorders>
              <w:top w:val="single" w:color="000000" w:sz="8" w:space="0"/>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1.25</w:t>
            </w:r>
          </w:p>
        </w:tc>
        <w:tc>
          <w:tcPr>
            <w:tcW w:w="615" w:type="dxa"/>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根</w:t>
            </w:r>
          </w:p>
        </w:tc>
        <w:tc>
          <w:tcPr>
            <w:tcW w:w="855" w:type="dxa"/>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36</w:t>
            </w:r>
          </w:p>
        </w:tc>
        <w:tc>
          <w:tcPr>
            <w:tcW w:w="1035" w:type="dxa"/>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0.3</w:t>
            </w:r>
          </w:p>
        </w:tc>
        <w:tc>
          <w:tcPr>
            <w:tcW w:w="1080" w:type="dxa"/>
            <w:tcBorders>
              <w:top w:val="single" w:color="000000" w:sz="8" w:space="0"/>
              <w:left w:val="single" w:color="000000" w:sz="8" w:space="0"/>
              <w:bottom w:val="single" w:color="000000" w:sz="8" w:space="0"/>
              <w:right w:val="single" w:color="000000" w:sz="8" w:space="0"/>
            </w:tcBorders>
            <w:shd w:val="clear" w:color="auto" w:fill="FFFFFF"/>
            <w:vAlign w:val="center"/>
          </w:tcPr>
          <w:p>
            <w:pPr>
              <w:rPr>
                <w:szCs w:val="21"/>
              </w:rPr>
            </w:pPr>
            <w:r>
              <w:rPr>
                <w:rFonts w:hint="eastAsia"/>
                <w:kern w:val="0"/>
                <w:szCs w:val="21"/>
              </w:rPr>
              <w:t>0.95</w:t>
            </w:r>
          </w:p>
        </w:tc>
        <w:tc>
          <w:tcPr>
            <w:tcW w:w="990" w:type="dxa"/>
            <w:tcBorders>
              <w:top w:val="single" w:color="000000" w:sz="8" w:space="0"/>
              <w:left w:val="single" w:color="000000" w:sz="8" w:space="0"/>
              <w:bottom w:val="single" w:color="000000" w:sz="8" w:space="0"/>
              <w:right w:val="single" w:color="000000" w:sz="8" w:space="0"/>
            </w:tcBorders>
            <w:shd w:val="clear" w:color="auto" w:fill="FFFFFF"/>
            <w:vAlign w:val="center"/>
          </w:tcPr>
          <w:p>
            <w:pPr>
              <w:jc w:val="center"/>
              <w:rPr>
                <w:kern w:val="0"/>
                <w:szCs w:val="21"/>
              </w:rPr>
            </w:pPr>
          </w:p>
        </w:tc>
        <w:tc>
          <w:tcPr>
            <w:tcW w:w="997" w:type="dxa"/>
            <w:tcBorders>
              <w:top w:val="single" w:color="000000" w:sz="8" w:space="0"/>
              <w:left w:val="single" w:color="000000" w:sz="8" w:space="0"/>
              <w:bottom w:val="single" w:color="000000" w:sz="8" w:space="0"/>
              <w:right w:val="single" w:color="000000" w:sz="8" w:space="0"/>
            </w:tcBorders>
            <w:shd w:val="clear" w:color="auto" w:fill="FFFFFF"/>
            <w:vAlign w:val="center"/>
          </w:tcPr>
          <w:p>
            <w:pPr>
              <w:jc w:val="center"/>
              <w:rPr>
                <w:kern w:val="0"/>
                <w:szCs w:val="21"/>
              </w:rPr>
            </w:pPr>
          </w:p>
        </w:tc>
      </w:tr>
      <w:tr>
        <w:tblPrEx>
          <w:tblCellMar>
            <w:top w:w="0" w:type="dxa"/>
            <w:left w:w="108" w:type="dxa"/>
            <w:bottom w:w="0" w:type="dxa"/>
            <w:right w:w="108" w:type="dxa"/>
          </w:tblCellMar>
        </w:tblPrEx>
        <w:trPr>
          <w:trHeight w:val="480"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eastAsia="宋体" w:cs="宋体"/>
                <w:color w:val="000000"/>
                <w:szCs w:val="21"/>
              </w:rPr>
            </w:pPr>
            <w:r>
              <w:rPr>
                <w:rFonts w:hint="eastAsia" w:ascii="宋体" w:hAnsi="宋体" w:eastAsia="宋体" w:cs="宋体"/>
                <w:color w:val="000000"/>
                <w:szCs w:val="21"/>
              </w:rPr>
              <w:t>21</w:t>
            </w:r>
          </w:p>
        </w:tc>
        <w:tc>
          <w:tcPr>
            <w:tcW w:w="1418" w:type="dxa"/>
            <w:tcBorders>
              <w:top w:val="single" w:color="000000" w:sz="4" w:space="0"/>
              <w:left w:val="single" w:color="000000" w:sz="4" w:space="0"/>
              <w:bottom w:val="single" w:color="000000" w:sz="4" w:space="0"/>
              <w:right w:val="single" w:color="000000" w:sz="8" w:space="0"/>
            </w:tcBorders>
            <w:shd w:val="clear" w:color="auto" w:fill="auto"/>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LED高棚灯H1a杆吊</w:t>
            </w:r>
          </w:p>
        </w:tc>
        <w:tc>
          <w:tcPr>
            <w:tcW w:w="1200" w:type="dxa"/>
            <w:tcBorders>
              <w:top w:val="single" w:color="000000" w:sz="8" w:space="0"/>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1.3</w:t>
            </w:r>
          </w:p>
        </w:tc>
        <w:tc>
          <w:tcPr>
            <w:tcW w:w="615" w:type="dxa"/>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根</w:t>
            </w:r>
          </w:p>
        </w:tc>
        <w:tc>
          <w:tcPr>
            <w:tcW w:w="855" w:type="dxa"/>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19</w:t>
            </w:r>
          </w:p>
        </w:tc>
        <w:tc>
          <w:tcPr>
            <w:tcW w:w="1035" w:type="dxa"/>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0.3</w:t>
            </w:r>
          </w:p>
        </w:tc>
        <w:tc>
          <w:tcPr>
            <w:tcW w:w="1080" w:type="dxa"/>
            <w:tcBorders>
              <w:top w:val="single" w:color="000000" w:sz="8" w:space="0"/>
              <w:left w:val="single" w:color="000000" w:sz="8" w:space="0"/>
              <w:bottom w:val="single" w:color="000000" w:sz="8" w:space="0"/>
              <w:right w:val="single" w:color="000000" w:sz="8" w:space="0"/>
            </w:tcBorders>
            <w:shd w:val="clear" w:color="auto" w:fill="FFFFFF"/>
            <w:vAlign w:val="center"/>
          </w:tcPr>
          <w:p>
            <w:pPr>
              <w:rPr>
                <w:szCs w:val="21"/>
              </w:rPr>
            </w:pPr>
            <w:r>
              <w:rPr>
                <w:rFonts w:hint="eastAsia"/>
                <w:kern w:val="0"/>
                <w:szCs w:val="21"/>
              </w:rPr>
              <w:t>1</w:t>
            </w:r>
          </w:p>
        </w:tc>
        <w:tc>
          <w:tcPr>
            <w:tcW w:w="990" w:type="dxa"/>
            <w:tcBorders>
              <w:top w:val="single" w:color="000000" w:sz="8" w:space="0"/>
              <w:left w:val="single" w:color="000000" w:sz="8" w:space="0"/>
              <w:bottom w:val="single" w:color="000000" w:sz="8" w:space="0"/>
              <w:right w:val="single" w:color="000000" w:sz="8" w:space="0"/>
            </w:tcBorders>
            <w:shd w:val="clear" w:color="auto" w:fill="FFFFFF"/>
            <w:vAlign w:val="center"/>
          </w:tcPr>
          <w:p>
            <w:pPr>
              <w:jc w:val="center"/>
              <w:rPr>
                <w:kern w:val="0"/>
                <w:szCs w:val="21"/>
              </w:rPr>
            </w:pPr>
          </w:p>
        </w:tc>
        <w:tc>
          <w:tcPr>
            <w:tcW w:w="997" w:type="dxa"/>
            <w:tcBorders>
              <w:top w:val="single" w:color="000000" w:sz="8" w:space="0"/>
              <w:left w:val="single" w:color="000000" w:sz="8" w:space="0"/>
              <w:bottom w:val="single" w:color="000000" w:sz="8" w:space="0"/>
              <w:right w:val="single" w:color="000000" w:sz="8" w:space="0"/>
            </w:tcBorders>
            <w:shd w:val="clear" w:color="auto" w:fill="FFFFFF"/>
            <w:vAlign w:val="center"/>
          </w:tcPr>
          <w:p>
            <w:pPr>
              <w:jc w:val="center"/>
              <w:rPr>
                <w:kern w:val="0"/>
                <w:szCs w:val="21"/>
              </w:rPr>
            </w:pPr>
          </w:p>
        </w:tc>
      </w:tr>
      <w:tr>
        <w:tblPrEx>
          <w:tblCellMar>
            <w:top w:w="0" w:type="dxa"/>
            <w:left w:w="108" w:type="dxa"/>
            <w:bottom w:w="0" w:type="dxa"/>
            <w:right w:w="108" w:type="dxa"/>
          </w:tblCellMar>
        </w:tblPrEx>
        <w:trPr>
          <w:trHeight w:val="480"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eastAsia="宋体" w:cs="宋体"/>
                <w:color w:val="000000"/>
                <w:szCs w:val="21"/>
              </w:rPr>
            </w:pPr>
            <w:r>
              <w:rPr>
                <w:rFonts w:hint="eastAsia" w:ascii="宋体" w:hAnsi="宋体" w:eastAsia="宋体" w:cs="宋体"/>
                <w:color w:val="000000"/>
                <w:szCs w:val="21"/>
              </w:rPr>
              <w:t>22</w:t>
            </w:r>
          </w:p>
        </w:tc>
        <w:tc>
          <w:tcPr>
            <w:tcW w:w="141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LED高棚灯H1a杆吊</w:t>
            </w:r>
          </w:p>
        </w:tc>
        <w:tc>
          <w:tcPr>
            <w:tcW w:w="1200" w:type="dxa"/>
            <w:tcBorders>
              <w:top w:val="single" w:color="000000" w:sz="8" w:space="0"/>
              <w:left w:val="single" w:color="000000" w:sz="4" w:space="0"/>
              <w:bottom w:val="single" w:color="000000" w:sz="4" w:space="0"/>
              <w:right w:val="nil"/>
            </w:tcBorders>
            <w:shd w:val="clear" w:color="auto" w:fill="FFFFFF"/>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1.8</w:t>
            </w:r>
          </w:p>
        </w:tc>
        <w:tc>
          <w:tcPr>
            <w:tcW w:w="615" w:type="dxa"/>
            <w:tcBorders>
              <w:top w:val="single" w:color="000000" w:sz="8"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根</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19</w:t>
            </w:r>
          </w:p>
        </w:tc>
        <w:tc>
          <w:tcPr>
            <w:tcW w:w="1035" w:type="dxa"/>
            <w:tcBorders>
              <w:top w:val="single" w:color="000000" w:sz="8"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0.3</w:t>
            </w:r>
          </w:p>
        </w:tc>
        <w:tc>
          <w:tcPr>
            <w:tcW w:w="1080" w:type="dxa"/>
            <w:tcBorders>
              <w:top w:val="single" w:color="000000" w:sz="8" w:space="0"/>
              <w:left w:val="single" w:color="000000" w:sz="4" w:space="0"/>
              <w:bottom w:val="single" w:color="000000" w:sz="4" w:space="0"/>
              <w:right w:val="single" w:color="000000" w:sz="4" w:space="0"/>
            </w:tcBorders>
            <w:shd w:val="clear" w:color="auto" w:fill="FFFFFF"/>
            <w:vAlign w:val="center"/>
          </w:tcPr>
          <w:p>
            <w:pPr>
              <w:rPr>
                <w:szCs w:val="21"/>
              </w:rPr>
            </w:pPr>
            <w:r>
              <w:rPr>
                <w:rFonts w:hint="eastAsia"/>
                <w:kern w:val="0"/>
                <w:szCs w:val="21"/>
              </w:rPr>
              <w:t>1.5</w:t>
            </w:r>
          </w:p>
        </w:tc>
        <w:tc>
          <w:tcPr>
            <w:tcW w:w="990" w:type="dxa"/>
            <w:tcBorders>
              <w:top w:val="single" w:color="000000" w:sz="8" w:space="0"/>
              <w:left w:val="single" w:color="000000" w:sz="4" w:space="0"/>
              <w:bottom w:val="single" w:color="000000" w:sz="4" w:space="0"/>
              <w:right w:val="single" w:color="000000" w:sz="4" w:space="0"/>
            </w:tcBorders>
            <w:shd w:val="clear" w:color="auto" w:fill="FFFFFF"/>
            <w:vAlign w:val="center"/>
          </w:tcPr>
          <w:p>
            <w:pPr>
              <w:jc w:val="center"/>
              <w:rPr>
                <w:kern w:val="0"/>
                <w:szCs w:val="21"/>
              </w:rPr>
            </w:pPr>
          </w:p>
        </w:tc>
        <w:tc>
          <w:tcPr>
            <w:tcW w:w="997" w:type="dxa"/>
            <w:tcBorders>
              <w:top w:val="single" w:color="000000" w:sz="8" w:space="0"/>
              <w:left w:val="single" w:color="000000" w:sz="4" w:space="0"/>
              <w:bottom w:val="single" w:color="000000" w:sz="4" w:space="0"/>
              <w:right w:val="single" w:color="000000" w:sz="4" w:space="0"/>
            </w:tcBorders>
            <w:shd w:val="clear" w:color="auto" w:fill="FFFFFF"/>
            <w:vAlign w:val="center"/>
          </w:tcPr>
          <w:p>
            <w:pPr>
              <w:jc w:val="center"/>
              <w:rPr>
                <w:kern w:val="0"/>
                <w:szCs w:val="21"/>
              </w:rPr>
            </w:pPr>
          </w:p>
        </w:tc>
      </w:tr>
      <w:tr>
        <w:tblPrEx>
          <w:tblCellMar>
            <w:top w:w="0" w:type="dxa"/>
            <w:left w:w="108" w:type="dxa"/>
            <w:bottom w:w="0" w:type="dxa"/>
            <w:right w:w="108" w:type="dxa"/>
          </w:tblCellMar>
        </w:tblPrEx>
        <w:trPr>
          <w:trHeight w:val="480"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eastAsia="宋体" w:cs="宋体"/>
                <w:color w:val="000000"/>
                <w:szCs w:val="21"/>
              </w:rPr>
            </w:pPr>
            <w:r>
              <w:rPr>
                <w:rFonts w:hint="eastAsia" w:ascii="宋体" w:hAnsi="宋体" w:eastAsia="宋体" w:cs="宋体"/>
                <w:color w:val="000000"/>
                <w:szCs w:val="21"/>
              </w:rPr>
              <w:t>23</w:t>
            </w:r>
          </w:p>
        </w:tc>
        <w:tc>
          <w:tcPr>
            <w:tcW w:w="141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LED高棚灯H1a杆吊</w:t>
            </w:r>
          </w:p>
        </w:tc>
        <w:tc>
          <w:tcPr>
            <w:tcW w:w="1200" w:type="dxa"/>
            <w:tcBorders>
              <w:top w:val="nil"/>
              <w:left w:val="single" w:color="000000" w:sz="4" w:space="0"/>
              <w:bottom w:val="single" w:color="000000" w:sz="4" w:space="0"/>
              <w:right w:val="nil"/>
            </w:tcBorders>
            <w:shd w:val="clear" w:color="auto" w:fill="FFFFFF"/>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2</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根</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19</w:t>
            </w:r>
          </w:p>
        </w:tc>
        <w:tc>
          <w:tcPr>
            <w:tcW w:w="10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0.3</w:t>
            </w:r>
          </w:p>
        </w:tc>
        <w:tc>
          <w:tcPr>
            <w:tcW w:w="1080" w:type="dxa"/>
            <w:tcBorders>
              <w:top w:val="nil"/>
              <w:left w:val="single" w:color="000000" w:sz="4" w:space="0"/>
              <w:bottom w:val="single" w:color="000000" w:sz="4" w:space="0"/>
              <w:right w:val="single" w:color="000000" w:sz="4" w:space="0"/>
            </w:tcBorders>
            <w:shd w:val="clear" w:color="auto" w:fill="FFFFFF"/>
            <w:vAlign w:val="center"/>
          </w:tcPr>
          <w:p>
            <w:pPr>
              <w:rPr>
                <w:szCs w:val="21"/>
              </w:rPr>
            </w:pPr>
            <w:r>
              <w:rPr>
                <w:rFonts w:hint="eastAsia"/>
                <w:kern w:val="0"/>
                <w:szCs w:val="21"/>
              </w:rPr>
              <w:t>1.7</w:t>
            </w:r>
          </w:p>
        </w:tc>
        <w:tc>
          <w:tcPr>
            <w:tcW w:w="990" w:type="dxa"/>
            <w:tcBorders>
              <w:top w:val="nil"/>
              <w:left w:val="single" w:color="000000" w:sz="4" w:space="0"/>
              <w:bottom w:val="single" w:color="000000" w:sz="4" w:space="0"/>
              <w:right w:val="single" w:color="000000" w:sz="4" w:space="0"/>
            </w:tcBorders>
            <w:shd w:val="clear" w:color="auto" w:fill="FFFFFF"/>
            <w:vAlign w:val="center"/>
          </w:tcPr>
          <w:p>
            <w:pPr>
              <w:jc w:val="center"/>
              <w:rPr>
                <w:kern w:val="0"/>
                <w:szCs w:val="21"/>
              </w:rPr>
            </w:pPr>
          </w:p>
        </w:tc>
        <w:tc>
          <w:tcPr>
            <w:tcW w:w="997" w:type="dxa"/>
            <w:tcBorders>
              <w:top w:val="nil"/>
              <w:left w:val="single" w:color="000000" w:sz="4" w:space="0"/>
              <w:bottom w:val="single" w:color="000000" w:sz="4" w:space="0"/>
              <w:right w:val="single" w:color="000000" w:sz="4" w:space="0"/>
            </w:tcBorders>
            <w:shd w:val="clear" w:color="auto" w:fill="FFFFFF"/>
            <w:vAlign w:val="center"/>
          </w:tcPr>
          <w:p>
            <w:pPr>
              <w:jc w:val="center"/>
              <w:rPr>
                <w:kern w:val="0"/>
                <w:szCs w:val="21"/>
              </w:rPr>
            </w:pPr>
          </w:p>
        </w:tc>
      </w:tr>
      <w:tr>
        <w:tblPrEx>
          <w:tblCellMar>
            <w:top w:w="0" w:type="dxa"/>
            <w:left w:w="108" w:type="dxa"/>
            <w:bottom w:w="0" w:type="dxa"/>
            <w:right w:w="108" w:type="dxa"/>
          </w:tblCellMar>
        </w:tblPrEx>
        <w:trPr>
          <w:trHeight w:val="480"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eastAsia="宋体" w:cs="宋体"/>
                <w:color w:val="000000"/>
                <w:szCs w:val="21"/>
              </w:rPr>
            </w:pPr>
            <w:r>
              <w:rPr>
                <w:rFonts w:hint="eastAsia" w:ascii="宋体" w:hAnsi="宋体" w:eastAsia="宋体" w:cs="宋体"/>
                <w:color w:val="000000"/>
                <w:szCs w:val="21"/>
              </w:rPr>
              <w:t>24</w:t>
            </w:r>
          </w:p>
        </w:tc>
        <w:tc>
          <w:tcPr>
            <w:tcW w:w="141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LED高棚灯H1a杆吊</w:t>
            </w:r>
          </w:p>
        </w:tc>
        <w:tc>
          <w:tcPr>
            <w:tcW w:w="1200" w:type="dxa"/>
            <w:tcBorders>
              <w:top w:val="single" w:color="000000" w:sz="8" w:space="0"/>
              <w:left w:val="single" w:color="000000" w:sz="4" w:space="0"/>
              <w:bottom w:val="single" w:color="000000" w:sz="4" w:space="0"/>
              <w:right w:val="nil"/>
            </w:tcBorders>
            <w:shd w:val="clear" w:color="auto" w:fill="auto"/>
            <w:noWrap/>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2.25</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根</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19</w:t>
            </w:r>
          </w:p>
        </w:tc>
        <w:tc>
          <w:tcPr>
            <w:tcW w:w="10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0.3</w:t>
            </w:r>
          </w:p>
        </w:tc>
        <w:tc>
          <w:tcPr>
            <w:tcW w:w="1080" w:type="dxa"/>
            <w:tcBorders>
              <w:top w:val="single" w:color="000000" w:sz="8" w:space="0"/>
              <w:left w:val="single" w:color="000000" w:sz="4" w:space="0"/>
              <w:bottom w:val="single" w:color="000000" w:sz="4" w:space="0"/>
              <w:right w:val="single" w:color="000000" w:sz="4" w:space="0"/>
            </w:tcBorders>
            <w:shd w:val="clear" w:color="auto" w:fill="auto"/>
            <w:noWrap/>
            <w:vAlign w:val="center"/>
          </w:tcPr>
          <w:p>
            <w:pPr>
              <w:rPr>
                <w:szCs w:val="21"/>
              </w:rPr>
            </w:pPr>
            <w:r>
              <w:rPr>
                <w:rFonts w:hint="eastAsia"/>
                <w:kern w:val="0"/>
                <w:szCs w:val="21"/>
              </w:rPr>
              <w:t>1.95</w:t>
            </w:r>
          </w:p>
        </w:tc>
        <w:tc>
          <w:tcPr>
            <w:tcW w:w="990" w:type="dxa"/>
            <w:tcBorders>
              <w:top w:val="single" w:color="000000" w:sz="8" w:space="0"/>
              <w:left w:val="single" w:color="000000" w:sz="4" w:space="0"/>
              <w:bottom w:val="single" w:color="000000" w:sz="4" w:space="0"/>
              <w:right w:val="single" w:color="000000" w:sz="4" w:space="0"/>
            </w:tcBorders>
            <w:shd w:val="clear" w:color="auto" w:fill="auto"/>
            <w:noWrap/>
            <w:vAlign w:val="center"/>
          </w:tcPr>
          <w:p>
            <w:pPr>
              <w:jc w:val="center"/>
              <w:rPr>
                <w:kern w:val="0"/>
                <w:szCs w:val="21"/>
              </w:rPr>
            </w:pPr>
          </w:p>
        </w:tc>
        <w:tc>
          <w:tcPr>
            <w:tcW w:w="997" w:type="dxa"/>
            <w:tcBorders>
              <w:top w:val="single" w:color="000000" w:sz="8" w:space="0"/>
              <w:left w:val="single" w:color="000000" w:sz="4" w:space="0"/>
              <w:bottom w:val="single" w:color="000000" w:sz="4" w:space="0"/>
              <w:right w:val="single" w:color="000000" w:sz="4" w:space="0"/>
            </w:tcBorders>
            <w:shd w:val="clear" w:color="auto" w:fill="auto"/>
            <w:noWrap/>
            <w:vAlign w:val="center"/>
          </w:tcPr>
          <w:p>
            <w:pPr>
              <w:jc w:val="center"/>
              <w:rPr>
                <w:kern w:val="0"/>
                <w:szCs w:val="21"/>
              </w:rPr>
            </w:pPr>
          </w:p>
        </w:tc>
      </w:tr>
      <w:tr>
        <w:tblPrEx>
          <w:tblCellMar>
            <w:top w:w="0" w:type="dxa"/>
            <w:left w:w="108" w:type="dxa"/>
            <w:bottom w:w="0" w:type="dxa"/>
            <w:right w:w="108" w:type="dxa"/>
          </w:tblCellMar>
        </w:tblPrEx>
        <w:trPr>
          <w:trHeight w:val="480"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eastAsia="宋体" w:cs="宋体"/>
                <w:color w:val="000000"/>
                <w:szCs w:val="21"/>
              </w:rPr>
            </w:pPr>
            <w:r>
              <w:rPr>
                <w:rFonts w:hint="eastAsia" w:ascii="宋体" w:hAnsi="宋体" w:eastAsia="宋体" w:cs="宋体"/>
                <w:color w:val="000000"/>
                <w:szCs w:val="21"/>
              </w:rPr>
              <w:t>25</w:t>
            </w:r>
          </w:p>
        </w:tc>
        <w:tc>
          <w:tcPr>
            <w:tcW w:w="141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LED高棚灯H1a杆吊</w:t>
            </w:r>
          </w:p>
        </w:tc>
        <w:tc>
          <w:tcPr>
            <w:tcW w:w="1200" w:type="dxa"/>
            <w:tcBorders>
              <w:top w:val="single" w:color="000000" w:sz="4" w:space="0"/>
              <w:left w:val="single" w:color="000000" w:sz="4" w:space="0"/>
              <w:bottom w:val="single" w:color="000000" w:sz="4" w:space="0"/>
              <w:right w:val="nil"/>
            </w:tcBorders>
            <w:shd w:val="clear" w:color="auto" w:fill="auto"/>
            <w:noWrap/>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2.6</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根</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19</w:t>
            </w:r>
          </w:p>
        </w:tc>
        <w:tc>
          <w:tcPr>
            <w:tcW w:w="10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0.3</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szCs w:val="21"/>
              </w:rPr>
            </w:pPr>
            <w:r>
              <w:rPr>
                <w:rFonts w:hint="eastAsia"/>
                <w:kern w:val="0"/>
                <w:szCs w:val="21"/>
              </w:rPr>
              <w:t>2.3</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kern w:val="0"/>
                <w:szCs w:val="21"/>
              </w:rPr>
            </w:pPr>
          </w:p>
        </w:tc>
        <w:tc>
          <w:tcPr>
            <w:tcW w:w="9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kern w:val="0"/>
                <w:szCs w:val="21"/>
              </w:rPr>
            </w:pPr>
          </w:p>
        </w:tc>
      </w:tr>
      <w:tr>
        <w:tblPrEx>
          <w:tblCellMar>
            <w:top w:w="0" w:type="dxa"/>
            <w:left w:w="108" w:type="dxa"/>
            <w:bottom w:w="0" w:type="dxa"/>
            <w:right w:w="108" w:type="dxa"/>
          </w:tblCellMar>
        </w:tblPrEx>
        <w:trPr>
          <w:trHeight w:val="480"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eastAsia="宋体" w:cs="宋体"/>
                <w:color w:val="000000"/>
                <w:szCs w:val="21"/>
              </w:rPr>
            </w:pPr>
            <w:r>
              <w:rPr>
                <w:rFonts w:hint="eastAsia" w:ascii="宋体" w:hAnsi="宋体" w:eastAsia="宋体" w:cs="宋体"/>
                <w:color w:val="000000"/>
                <w:szCs w:val="21"/>
              </w:rPr>
              <w:t>26</w:t>
            </w:r>
          </w:p>
        </w:tc>
        <w:tc>
          <w:tcPr>
            <w:tcW w:w="141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LED高棚灯H1a杆吊</w:t>
            </w:r>
          </w:p>
        </w:tc>
        <w:tc>
          <w:tcPr>
            <w:tcW w:w="1200" w:type="dxa"/>
            <w:tcBorders>
              <w:top w:val="single" w:color="000000" w:sz="4" w:space="0"/>
              <w:left w:val="single" w:color="000000" w:sz="4" w:space="0"/>
              <w:bottom w:val="single" w:color="000000" w:sz="4" w:space="0"/>
              <w:right w:val="nil"/>
            </w:tcBorders>
            <w:shd w:val="clear" w:color="auto" w:fill="auto"/>
            <w:noWrap/>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2.85</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根</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19</w:t>
            </w:r>
          </w:p>
        </w:tc>
        <w:tc>
          <w:tcPr>
            <w:tcW w:w="10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0.3</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szCs w:val="21"/>
              </w:rPr>
            </w:pPr>
            <w:r>
              <w:rPr>
                <w:rFonts w:hint="eastAsia"/>
                <w:kern w:val="0"/>
                <w:szCs w:val="21"/>
              </w:rPr>
              <w:t>2.55</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kern w:val="0"/>
                <w:szCs w:val="21"/>
              </w:rPr>
            </w:pPr>
          </w:p>
        </w:tc>
        <w:tc>
          <w:tcPr>
            <w:tcW w:w="9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kern w:val="0"/>
                <w:szCs w:val="21"/>
              </w:rPr>
            </w:pPr>
          </w:p>
        </w:tc>
      </w:tr>
      <w:tr>
        <w:tblPrEx>
          <w:tblCellMar>
            <w:top w:w="0" w:type="dxa"/>
            <w:left w:w="108" w:type="dxa"/>
            <w:bottom w:w="0" w:type="dxa"/>
            <w:right w:w="108" w:type="dxa"/>
          </w:tblCellMar>
        </w:tblPrEx>
        <w:trPr>
          <w:trHeight w:val="480"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eastAsia="宋体" w:cs="宋体"/>
                <w:color w:val="000000"/>
                <w:szCs w:val="21"/>
              </w:rPr>
            </w:pPr>
            <w:r>
              <w:rPr>
                <w:rFonts w:hint="eastAsia" w:ascii="宋体" w:hAnsi="宋体" w:eastAsia="宋体" w:cs="宋体"/>
                <w:color w:val="000000"/>
                <w:szCs w:val="21"/>
              </w:rPr>
              <w:t>27</w:t>
            </w:r>
          </w:p>
        </w:tc>
        <w:tc>
          <w:tcPr>
            <w:tcW w:w="141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LED高棚灯H1b杆吊</w:t>
            </w:r>
          </w:p>
        </w:tc>
        <w:tc>
          <w:tcPr>
            <w:tcW w:w="1200" w:type="dxa"/>
            <w:tcBorders>
              <w:top w:val="single" w:color="000000" w:sz="4" w:space="0"/>
              <w:left w:val="single" w:color="000000" w:sz="4" w:space="0"/>
              <w:bottom w:val="single" w:color="000000" w:sz="4" w:space="0"/>
              <w:right w:val="nil"/>
            </w:tcBorders>
            <w:shd w:val="clear" w:color="auto" w:fill="auto"/>
            <w:noWrap/>
            <w:vAlign w:val="center"/>
          </w:tcPr>
          <w:p>
            <w:pPr>
              <w:jc w:val="center"/>
              <w:rPr>
                <w:rFonts w:ascii="宋体" w:hAnsi="宋体" w:eastAsia="宋体" w:cs="宋体"/>
                <w:color w:val="000000"/>
                <w:szCs w:val="21"/>
              </w:rPr>
            </w:pPr>
            <w:r>
              <w:rPr>
                <w:rFonts w:hint="eastAsia" w:ascii="宋体" w:hAnsi="宋体" w:eastAsia="宋体" w:cs="宋体"/>
                <w:color w:val="000000"/>
                <w:szCs w:val="21"/>
              </w:rPr>
              <w:t>0.5</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根</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50</w:t>
            </w:r>
          </w:p>
        </w:tc>
        <w:tc>
          <w:tcPr>
            <w:tcW w:w="10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0.3</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szCs w:val="21"/>
              </w:rPr>
            </w:pPr>
            <w:r>
              <w:rPr>
                <w:rFonts w:hint="eastAsia"/>
                <w:kern w:val="0"/>
                <w:szCs w:val="21"/>
              </w:rPr>
              <w:t>0.2</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kern w:val="0"/>
                <w:szCs w:val="21"/>
              </w:rPr>
            </w:pPr>
          </w:p>
        </w:tc>
        <w:tc>
          <w:tcPr>
            <w:tcW w:w="9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kern w:val="0"/>
                <w:szCs w:val="21"/>
              </w:rPr>
            </w:pPr>
          </w:p>
        </w:tc>
      </w:tr>
    </w:tbl>
    <w:p>
      <w:pPr>
        <w:spacing w:line="480" w:lineRule="auto"/>
        <w:rPr>
          <w:rFonts w:ascii="仿宋" w:hAnsi="仿宋" w:eastAsia="仿宋" w:cs="仿宋"/>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0000000000000000000"/>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F5A6ED6"/>
    <w:multiLevelType w:val="singleLevel"/>
    <w:tmpl w:val="4F5A6ED6"/>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FD4460"/>
    <w:rsid w:val="00016C2D"/>
    <w:rsid w:val="00017C7F"/>
    <w:rsid w:val="00046909"/>
    <w:rsid w:val="00125AC9"/>
    <w:rsid w:val="00165949"/>
    <w:rsid w:val="001F136C"/>
    <w:rsid w:val="00380C82"/>
    <w:rsid w:val="00414EF1"/>
    <w:rsid w:val="005678F7"/>
    <w:rsid w:val="006067A2"/>
    <w:rsid w:val="0070170E"/>
    <w:rsid w:val="008C7473"/>
    <w:rsid w:val="00A67E55"/>
    <w:rsid w:val="00B87C8B"/>
    <w:rsid w:val="00BB040F"/>
    <w:rsid w:val="00BC205A"/>
    <w:rsid w:val="00BC67F1"/>
    <w:rsid w:val="00E837BF"/>
    <w:rsid w:val="00FD4460"/>
    <w:rsid w:val="020B6A0C"/>
    <w:rsid w:val="03AA1B9F"/>
    <w:rsid w:val="03E07A24"/>
    <w:rsid w:val="06B83518"/>
    <w:rsid w:val="085F03EF"/>
    <w:rsid w:val="08B1373D"/>
    <w:rsid w:val="09E33F8D"/>
    <w:rsid w:val="0C780E3D"/>
    <w:rsid w:val="0C945850"/>
    <w:rsid w:val="0E0E518E"/>
    <w:rsid w:val="0F5E63E1"/>
    <w:rsid w:val="0FC4104A"/>
    <w:rsid w:val="11A05449"/>
    <w:rsid w:val="12062D4C"/>
    <w:rsid w:val="139323BD"/>
    <w:rsid w:val="14D653E0"/>
    <w:rsid w:val="14FA60BD"/>
    <w:rsid w:val="16347075"/>
    <w:rsid w:val="18556BF2"/>
    <w:rsid w:val="192D342E"/>
    <w:rsid w:val="1AE94FB9"/>
    <w:rsid w:val="1C4E5A1B"/>
    <w:rsid w:val="1D88759B"/>
    <w:rsid w:val="1E1E4F79"/>
    <w:rsid w:val="1E206F43"/>
    <w:rsid w:val="1E867BB3"/>
    <w:rsid w:val="1EC04283"/>
    <w:rsid w:val="207672EF"/>
    <w:rsid w:val="229672D8"/>
    <w:rsid w:val="2409047A"/>
    <w:rsid w:val="24390996"/>
    <w:rsid w:val="24B552F8"/>
    <w:rsid w:val="27337CE7"/>
    <w:rsid w:val="28642F65"/>
    <w:rsid w:val="286C15C6"/>
    <w:rsid w:val="288325A9"/>
    <w:rsid w:val="289A5695"/>
    <w:rsid w:val="298F1421"/>
    <w:rsid w:val="2AC92F1C"/>
    <w:rsid w:val="2AEC3946"/>
    <w:rsid w:val="2BAC62BA"/>
    <w:rsid w:val="2EC21C32"/>
    <w:rsid w:val="2EC53065"/>
    <w:rsid w:val="2FE938F6"/>
    <w:rsid w:val="302E54F0"/>
    <w:rsid w:val="304765B2"/>
    <w:rsid w:val="319F0182"/>
    <w:rsid w:val="31C32C1A"/>
    <w:rsid w:val="331E3EF4"/>
    <w:rsid w:val="33F47202"/>
    <w:rsid w:val="37B502A5"/>
    <w:rsid w:val="39987E7E"/>
    <w:rsid w:val="3C1932D0"/>
    <w:rsid w:val="3CAA05F4"/>
    <w:rsid w:val="3D4B4975"/>
    <w:rsid w:val="3D4D47C3"/>
    <w:rsid w:val="3ECC69CE"/>
    <w:rsid w:val="3ECC70E8"/>
    <w:rsid w:val="3F454A0B"/>
    <w:rsid w:val="3FA70E1B"/>
    <w:rsid w:val="40BD04F0"/>
    <w:rsid w:val="43664B49"/>
    <w:rsid w:val="43872A42"/>
    <w:rsid w:val="43F94F56"/>
    <w:rsid w:val="43FD54AD"/>
    <w:rsid w:val="4492625E"/>
    <w:rsid w:val="44BF0EFD"/>
    <w:rsid w:val="46D1677D"/>
    <w:rsid w:val="47941C85"/>
    <w:rsid w:val="4794436F"/>
    <w:rsid w:val="48174664"/>
    <w:rsid w:val="48CA349C"/>
    <w:rsid w:val="48CA3FE8"/>
    <w:rsid w:val="48D76A55"/>
    <w:rsid w:val="49F03737"/>
    <w:rsid w:val="4A52741E"/>
    <w:rsid w:val="4B153D9E"/>
    <w:rsid w:val="4B3E094D"/>
    <w:rsid w:val="4B413ED2"/>
    <w:rsid w:val="4B7E36FC"/>
    <w:rsid w:val="4D0538A9"/>
    <w:rsid w:val="4D2318FC"/>
    <w:rsid w:val="4D484CEA"/>
    <w:rsid w:val="4E84419B"/>
    <w:rsid w:val="4EBD5F65"/>
    <w:rsid w:val="50680152"/>
    <w:rsid w:val="538D664A"/>
    <w:rsid w:val="53EC33AF"/>
    <w:rsid w:val="54CD724D"/>
    <w:rsid w:val="55063136"/>
    <w:rsid w:val="5613290E"/>
    <w:rsid w:val="56C97471"/>
    <w:rsid w:val="5710353F"/>
    <w:rsid w:val="58447042"/>
    <w:rsid w:val="585A4825"/>
    <w:rsid w:val="586138DF"/>
    <w:rsid w:val="58A87790"/>
    <w:rsid w:val="591505D2"/>
    <w:rsid w:val="59246BE1"/>
    <w:rsid w:val="59A67888"/>
    <w:rsid w:val="5A3B0686"/>
    <w:rsid w:val="5B127639"/>
    <w:rsid w:val="5B174C4F"/>
    <w:rsid w:val="5B2E160E"/>
    <w:rsid w:val="5C2F320E"/>
    <w:rsid w:val="5EAE1426"/>
    <w:rsid w:val="604E5A75"/>
    <w:rsid w:val="609B79A5"/>
    <w:rsid w:val="61A40B51"/>
    <w:rsid w:val="64416899"/>
    <w:rsid w:val="64755ABB"/>
    <w:rsid w:val="658C50C3"/>
    <w:rsid w:val="667F3657"/>
    <w:rsid w:val="674934CD"/>
    <w:rsid w:val="67892A30"/>
    <w:rsid w:val="67AC13EE"/>
    <w:rsid w:val="67F333F5"/>
    <w:rsid w:val="687B3D6D"/>
    <w:rsid w:val="69C42446"/>
    <w:rsid w:val="6B0A649C"/>
    <w:rsid w:val="6CCD1611"/>
    <w:rsid w:val="6E192919"/>
    <w:rsid w:val="6F217A5F"/>
    <w:rsid w:val="6FB95E7D"/>
    <w:rsid w:val="70F93F48"/>
    <w:rsid w:val="71385A81"/>
    <w:rsid w:val="716A6E0A"/>
    <w:rsid w:val="716B31A7"/>
    <w:rsid w:val="71A16EAE"/>
    <w:rsid w:val="73216C39"/>
    <w:rsid w:val="7420471D"/>
    <w:rsid w:val="74275AAB"/>
    <w:rsid w:val="75FE0A8D"/>
    <w:rsid w:val="771F298B"/>
    <w:rsid w:val="79002D6F"/>
    <w:rsid w:val="7A124B07"/>
    <w:rsid w:val="7B707D38"/>
    <w:rsid w:val="7D074815"/>
    <w:rsid w:val="7E2E2EA0"/>
    <w:rsid w:val="7E9C72E6"/>
    <w:rsid w:val="7EDB14C6"/>
    <w:rsid w:val="7F080287"/>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qFormat/>
    <w:uiPriority w:val="0"/>
    <w:pPr>
      <w:tabs>
        <w:tab w:val="center" w:pos="4153"/>
        <w:tab w:val="right" w:pos="8306"/>
      </w:tabs>
      <w:snapToGrid w:val="0"/>
      <w:jc w:val="left"/>
    </w:pPr>
    <w:rPr>
      <w:sz w:val="18"/>
      <w:szCs w:val="18"/>
    </w:rPr>
  </w:style>
  <w:style w:type="paragraph" w:styleId="3">
    <w:name w:val="header"/>
    <w:basedOn w:val="1"/>
    <w:link w:val="7"/>
    <w:uiPriority w:val="0"/>
    <w:pPr>
      <w:pBdr>
        <w:bottom w:val="single" w:color="auto" w:sz="6" w:space="1"/>
      </w:pBdr>
      <w:tabs>
        <w:tab w:val="center" w:pos="4153"/>
        <w:tab w:val="right" w:pos="8306"/>
      </w:tabs>
      <w:snapToGrid w:val="0"/>
      <w:jc w:val="center"/>
    </w:pPr>
    <w:rPr>
      <w:sz w:val="18"/>
      <w:szCs w:val="18"/>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7">
    <w:name w:val="页眉 Char"/>
    <w:basedOn w:val="6"/>
    <w:link w:val="3"/>
    <w:qFormat/>
    <w:uiPriority w:val="0"/>
    <w:rPr>
      <w:kern w:val="2"/>
      <w:sz w:val="18"/>
      <w:szCs w:val="18"/>
    </w:rPr>
  </w:style>
  <w:style w:type="character" w:customStyle="1" w:styleId="8">
    <w:name w:val="页脚 Char"/>
    <w:basedOn w:val="6"/>
    <w:link w:val="2"/>
    <w:uiPriority w:val="0"/>
    <w:rPr>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8</Pages>
  <Words>578</Words>
  <Characters>3296</Characters>
  <Lines>27</Lines>
  <Paragraphs>7</Paragraphs>
  <TotalTime>4</TotalTime>
  <ScaleCrop>false</ScaleCrop>
  <LinksUpToDate>false</LinksUpToDate>
  <CharactersWithSpaces>3867</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2021-11-06T09:59:00Z</dcterms:created>
  <dc:creator>Administrator</dc:creator>
  <cp:lastModifiedBy>WD</cp:lastModifiedBy>
  <dcterms:modified xsi:type="dcterms:W3CDTF">2022-02-25T01:52:19Z</dcterms:modified>
  <cp:revision>28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A88BBB3EEA85451492E5667C21CDA0C8</vt:lpwstr>
  </property>
</Properties>
</file>